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41"/>
        <w:tblW w:w="0" w:type="auto"/>
        <w:tblLook w:val="01E0" w:firstRow="1" w:lastRow="1" w:firstColumn="1" w:lastColumn="1" w:noHBand="0" w:noVBand="0"/>
      </w:tblPr>
      <w:tblGrid>
        <w:gridCol w:w="3510"/>
        <w:gridCol w:w="7290"/>
      </w:tblGrid>
      <w:tr w:rsidR="006A6902" w:rsidRPr="00240FC5" w14:paraId="3454E113" w14:textId="77777777" w:rsidTr="00710EFD">
        <w:trPr>
          <w:cantSplit/>
          <w:trHeight w:val="720"/>
        </w:trPr>
        <w:tc>
          <w:tcPr>
            <w:tcW w:w="3510" w:type="dxa"/>
            <w:vMerge w:val="restart"/>
            <w:vAlign w:val="center"/>
          </w:tcPr>
          <w:p w14:paraId="3B2015E3" w14:textId="77777777" w:rsidR="006A6902" w:rsidRPr="00240FC5" w:rsidRDefault="005311AC" w:rsidP="00F15D40">
            <w:pPr>
              <w:jc w:val="center"/>
            </w:pPr>
            <w:r w:rsidRPr="00240FC5">
              <w:rPr>
                <w:noProof/>
              </w:rPr>
              <w:drawing>
                <wp:inline distT="0" distB="0" distL="0" distR="0" wp14:anchorId="24153ACF" wp14:editId="5D7DCFEB">
                  <wp:extent cx="1600200" cy="781050"/>
                  <wp:effectExtent l="0" t="0" r="0" b="0"/>
                  <wp:docPr id="27" name="Picture 27" descr="NEG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GR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inline>
              </w:drawing>
            </w:r>
          </w:p>
        </w:tc>
        <w:tc>
          <w:tcPr>
            <w:tcW w:w="7290" w:type="dxa"/>
            <w:vAlign w:val="bottom"/>
          </w:tcPr>
          <w:p w14:paraId="58F46F0B" w14:textId="77777777" w:rsidR="006A6902" w:rsidRPr="00BF16D3" w:rsidRDefault="006A6902" w:rsidP="00F15D40">
            <w:pPr>
              <w:jc w:val="center"/>
              <w:rPr>
                <w:b/>
                <w:color w:val="2E74B5" w:themeColor="accent1" w:themeShade="BF"/>
                <w:sz w:val="36"/>
                <w:szCs w:val="40"/>
              </w:rPr>
            </w:pPr>
            <w:r w:rsidRPr="00BF16D3">
              <w:rPr>
                <w:b/>
                <w:color w:val="2E74B5" w:themeColor="accent1" w:themeShade="BF"/>
                <w:sz w:val="36"/>
                <w:szCs w:val="40"/>
              </w:rPr>
              <w:t>DEVELOPMENTS OF REGIONAL IMPACT</w:t>
            </w:r>
          </w:p>
        </w:tc>
      </w:tr>
      <w:tr w:rsidR="006A6902" w:rsidRPr="00240FC5" w14:paraId="6192104E" w14:textId="77777777" w:rsidTr="00710EFD">
        <w:trPr>
          <w:cantSplit/>
          <w:trHeight w:val="720"/>
        </w:trPr>
        <w:tc>
          <w:tcPr>
            <w:tcW w:w="3510" w:type="dxa"/>
            <w:vMerge/>
          </w:tcPr>
          <w:p w14:paraId="374B54D8" w14:textId="77777777" w:rsidR="006A6902" w:rsidRPr="00240FC5" w:rsidRDefault="006A6902" w:rsidP="00F15D40"/>
        </w:tc>
        <w:tc>
          <w:tcPr>
            <w:tcW w:w="7290" w:type="dxa"/>
            <w:vAlign w:val="center"/>
          </w:tcPr>
          <w:p w14:paraId="6002AC1F" w14:textId="77777777" w:rsidR="006A6902" w:rsidRPr="00BF16D3" w:rsidRDefault="00271972" w:rsidP="00F15D40">
            <w:pPr>
              <w:jc w:val="center"/>
              <w:rPr>
                <w:b/>
                <w:i/>
                <w:color w:val="2E74B5" w:themeColor="accent1" w:themeShade="BF"/>
                <w:sz w:val="36"/>
                <w:szCs w:val="36"/>
              </w:rPr>
            </w:pPr>
            <w:r w:rsidRPr="001F5F55">
              <w:rPr>
                <w:b/>
                <w:i/>
                <w:color w:val="2E74B5" w:themeColor="accent1" w:themeShade="BF"/>
                <w:sz w:val="36"/>
                <w:szCs w:val="36"/>
              </w:rPr>
              <w:t>Final Report</w:t>
            </w:r>
          </w:p>
        </w:tc>
      </w:tr>
      <w:tr w:rsidR="006A6902" w:rsidRPr="00240FC5" w14:paraId="7A11F558" w14:textId="77777777" w:rsidTr="004B2277">
        <w:trPr>
          <w:trHeight w:val="432"/>
        </w:trPr>
        <w:tc>
          <w:tcPr>
            <w:tcW w:w="10800" w:type="dxa"/>
            <w:gridSpan w:val="2"/>
            <w:tcBorders>
              <w:bottom w:val="single" w:sz="4" w:space="0" w:color="5B9BD5" w:themeColor="accent1"/>
            </w:tcBorders>
            <w:vAlign w:val="center"/>
          </w:tcPr>
          <w:p w14:paraId="3B886185" w14:textId="77777777" w:rsidR="006A6902" w:rsidRPr="00BF16D3" w:rsidRDefault="006A6902" w:rsidP="00F15D40">
            <w:pPr>
              <w:jc w:val="center"/>
              <w:rPr>
                <w:rFonts w:ascii="Trajan Pro" w:hAnsi="Trajan Pro"/>
                <w:color w:val="2E74B5" w:themeColor="accent1" w:themeShade="BF"/>
                <w:sz w:val="17"/>
                <w:szCs w:val="17"/>
              </w:rPr>
            </w:pPr>
            <w:r w:rsidRPr="00BF16D3">
              <w:rPr>
                <w:rFonts w:ascii="Trajan Pro" w:hAnsi="Trajan Pro"/>
                <w:color w:val="2E74B5" w:themeColor="accent1" w:themeShade="BF"/>
                <w:sz w:val="17"/>
                <w:szCs w:val="17"/>
              </w:rPr>
              <w:t xml:space="preserve">Northeast Georgia Regional </w:t>
            </w:r>
            <w:r w:rsidR="00F47F5A" w:rsidRPr="00BF16D3">
              <w:rPr>
                <w:rFonts w:ascii="Trajan Pro" w:hAnsi="Trajan Pro"/>
                <w:color w:val="2E74B5" w:themeColor="accent1" w:themeShade="BF"/>
                <w:sz w:val="17"/>
                <w:szCs w:val="17"/>
              </w:rPr>
              <w:t xml:space="preserve">Commission </w:t>
            </w:r>
            <w:r w:rsidRPr="00BF16D3">
              <w:rPr>
                <w:rFonts w:ascii="Trajan Pro" w:hAnsi="Trajan Pro"/>
                <w:color w:val="2E74B5" w:themeColor="accent1" w:themeShade="BF"/>
                <w:sz w:val="17"/>
                <w:szCs w:val="17"/>
              </w:rPr>
              <w:t xml:space="preserve">• </w:t>
            </w:r>
            <w:smartTag w:uri="urn:schemas-microsoft-com:office:smarttags" w:element="address">
              <w:smartTag w:uri="urn:schemas-microsoft-com:office:smarttags" w:element="Street">
                <w:r w:rsidRPr="00BF16D3">
                  <w:rPr>
                    <w:rFonts w:ascii="Trajan Pro" w:hAnsi="Trajan Pro"/>
                    <w:color w:val="2E74B5" w:themeColor="accent1" w:themeShade="BF"/>
                    <w:sz w:val="17"/>
                    <w:szCs w:val="17"/>
                  </w:rPr>
                  <w:t>305 Research Drive</w:t>
                </w:r>
              </w:smartTag>
              <w:r w:rsidRPr="00BF16D3">
                <w:rPr>
                  <w:rFonts w:ascii="Trajan Pro" w:hAnsi="Trajan Pro"/>
                  <w:color w:val="2E74B5" w:themeColor="accent1" w:themeShade="BF"/>
                  <w:sz w:val="17"/>
                  <w:szCs w:val="17"/>
                </w:rPr>
                <w:t xml:space="preserve">, </w:t>
              </w:r>
              <w:smartTag w:uri="urn:schemas-microsoft-com:office:smarttags" w:element="City">
                <w:r w:rsidRPr="00BF16D3">
                  <w:rPr>
                    <w:rFonts w:ascii="Trajan Pro" w:hAnsi="Trajan Pro"/>
                    <w:color w:val="2E74B5" w:themeColor="accent1" w:themeShade="BF"/>
                    <w:sz w:val="17"/>
                    <w:szCs w:val="17"/>
                  </w:rPr>
                  <w:t>Athens</w:t>
                </w:r>
              </w:smartTag>
              <w:r w:rsidRPr="00BF16D3">
                <w:rPr>
                  <w:rFonts w:ascii="Trajan Pro" w:hAnsi="Trajan Pro"/>
                  <w:color w:val="2E74B5" w:themeColor="accent1" w:themeShade="BF"/>
                  <w:sz w:val="17"/>
                  <w:szCs w:val="17"/>
                </w:rPr>
                <w:t xml:space="preserve">, </w:t>
              </w:r>
              <w:smartTag w:uri="urn:schemas-microsoft-com:office:smarttags" w:element="country-region">
                <w:r w:rsidRPr="00BF16D3">
                  <w:rPr>
                    <w:rFonts w:ascii="Trajan Pro" w:hAnsi="Trajan Pro"/>
                    <w:color w:val="2E74B5" w:themeColor="accent1" w:themeShade="BF"/>
                    <w:sz w:val="17"/>
                    <w:szCs w:val="17"/>
                  </w:rPr>
                  <w:t>Georgia</w:t>
                </w:r>
              </w:smartTag>
            </w:smartTag>
            <w:r w:rsidR="00F47F5A" w:rsidRPr="00BF16D3">
              <w:rPr>
                <w:rFonts w:ascii="Trajan Pro" w:hAnsi="Trajan Pro"/>
                <w:color w:val="2E74B5" w:themeColor="accent1" w:themeShade="BF"/>
                <w:sz w:val="17"/>
                <w:szCs w:val="17"/>
              </w:rPr>
              <w:t xml:space="preserve"> • www.negr</w:t>
            </w:r>
            <w:r w:rsidRPr="00BF16D3">
              <w:rPr>
                <w:rFonts w:ascii="Trajan Pro" w:hAnsi="Trajan Pro"/>
                <w:color w:val="2E74B5" w:themeColor="accent1" w:themeShade="BF"/>
                <w:sz w:val="17"/>
                <w:szCs w:val="17"/>
              </w:rPr>
              <w:t>c.org</w:t>
            </w:r>
          </w:p>
        </w:tc>
      </w:tr>
      <w:tr w:rsidR="006A6902" w:rsidRPr="00BF16D3" w14:paraId="3897DA6D" w14:textId="77777777" w:rsidTr="004B2277">
        <w:trPr>
          <w:trHeight w:val="144"/>
        </w:trPr>
        <w:tc>
          <w:tcPr>
            <w:tcW w:w="10800" w:type="dxa"/>
            <w:gridSpan w:val="2"/>
            <w:tcBorders>
              <w:top w:val="single" w:sz="4" w:space="0" w:color="5B9BD5" w:themeColor="accent1"/>
            </w:tcBorders>
            <w:vAlign w:val="center"/>
          </w:tcPr>
          <w:p w14:paraId="1DFE1C7E" w14:textId="77777777" w:rsidR="006A6902" w:rsidRPr="00BF16D3" w:rsidRDefault="006A6902" w:rsidP="00F15D40">
            <w:pPr>
              <w:rPr>
                <w:sz w:val="8"/>
                <w:szCs w:val="8"/>
              </w:rPr>
            </w:pPr>
          </w:p>
        </w:tc>
      </w:tr>
      <w:tr w:rsidR="006A6902" w:rsidRPr="00FB794A" w14:paraId="5E147FEE" w14:textId="77777777" w:rsidTr="004B2277">
        <w:trPr>
          <w:trHeight w:val="270"/>
        </w:trPr>
        <w:tc>
          <w:tcPr>
            <w:tcW w:w="10800" w:type="dxa"/>
            <w:gridSpan w:val="2"/>
            <w:tcBorders>
              <w:bottom w:val="single" w:sz="4" w:space="0" w:color="5B9BD5" w:themeColor="accent1"/>
            </w:tcBorders>
            <w:vAlign w:val="center"/>
          </w:tcPr>
          <w:p w14:paraId="34A35A78" w14:textId="77777777" w:rsidR="009C66CE" w:rsidRPr="00FB794A" w:rsidRDefault="000A7CD5" w:rsidP="00F15D40">
            <w:pPr>
              <w:spacing w:before="120" w:after="120"/>
              <w:rPr>
                <w:rFonts w:eastAsiaTheme="minorHAnsi"/>
                <w:szCs w:val="22"/>
              </w:rPr>
            </w:pPr>
            <w:r w:rsidRPr="00FB794A">
              <w:rPr>
                <w:szCs w:val="22"/>
              </w:rPr>
              <w:t xml:space="preserve">The Northeast Georgia Regional Commission </w:t>
            </w:r>
            <w:r w:rsidR="003C608E" w:rsidRPr="00FB794A">
              <w:rPr>
                <w:szCs w:val="22"/>
              </w:rPr>
              <w:t xml:space="preserve">(NEGRC) </w:t>
            </w:r>
            <w:r w:rsidRPr="00FB794A">
              <w:rPr>
                <w:szCs w:val="22"/>
              </w:rPr>
              <w:t xml:space="preserve">has </w:t>
            </w:r>
            <w:r w:rsidR="0013141F" w:rsidRPr="00FB794A">
              <w:rPr>
                <w:szCs w:val="22"/>
              </w:rPr>
              <w:t xml:space="preserve">completed its review of the following Development of Regional Impact (DRI). </w:t>
            </w:r>
            <w:r w:rsidR="009C66CE" w:rsidRPr="00FB794A">
              <w:rPr>
                <w:rFonts w:eastAsiaTheme="minorHAnsi"/>
                <w:szCs w:val="22"/>
              </w:rPr>
              <w:t xml:space="preserve"> </w:t>
            </w:r>
            <w:r w:rsidR="00FB794A" w:rsidRPr="00FB794A">
              <w:rPr>
                <w:rFonts w:eastAsiaTheme="minorHAnsi"/>
                <w:szCs w:val="22"/>
              </w:rPr>
              <w:t xml:space="preserve">This report contains the NEGRC’s assessment of how the proposed project relates to the policies, programs, and projects articulated in the Regional Plan and Regional Resource Plan. Also included </w:t>
            </w:r>
            <w:r w:rsidR="00FE630F">
              <w:rPr>
                <w:rFonts w:eastAsiaTheme="minorHAnsi"/>
                <w:szCs w:val="22"/>
              </w:rPr>
              <w:t>is</w:t>
            </w:r>
            <w:r w:rsidR="00FB794A" w:rsidRPr="00FB794A">
              <w:rPr>
                <w:rFonts w:eastAsiaTheme="minorHAnsi"/>
                <w:szCs w:val="22"/>
              </w:rPr>
              <w:t xml:space="preserve"> an assessment of likely interjurisdictional impacts resulting from the proposed development, as well as all comments received from identified affected parties and others during the </w:t>
            </w:r>
            <w:r w:rsidR="00FE630F">
              <w:rPr>
                <w:rFonts w:eastAsiaTheme="minorHAnsi"/>
                <w:szCs w:val="22"/>
              </w:rPr>
              <w:t>fifteen-</w:t>
            </w:r>
            <w:r w:rsidR="00FB794A" w:rsidRPr="00FB794A">
              <w:rPr>
                <w:rFonts w:eastAsiaTheme="minorHAnsi"/>
                <w:szCs w:val="22"/>
              </w:rPr>
              <w:t xml:space="preserve"> day comment period.</w:t>
            </w:r>
          </w:p>
          <w:p w14:paraId="79D28362" w14:textId="77777777" w:rsidR="006A6902" w:rsidRDefault="009C66CE" w:rsidP="00F15D40">
            <w:pPr>
              <w:spacing w:before="120" w:after="120"/>
              <w:rPr>
                <w:rFonts w:asciiTheme="minorHAnsi" w:eastAsiaTheme="minorHAnsi" w:hAnsiTheme="minorHAnsi" w:cstheme="minorBidi"/>
                <w:szCs w:val="22"/>
              </w:rPr>
            </w:pPr>
            <w:r w:rsidRPr="00FB794A">
              <w:rPr>
                <w:szCs w:val="22"/>
              </w:rPr>
              <w:t>The materials presented in this report are purely advisory and under no circumstances should be considered as binding or infringing upon the host jurisdiction’s right to determine for itself the appropriateness of development within its boundaries</w:t>
            </w:r>
            <w:r w:rsidRPr="00FB794A">
              <w:rPr>
                <w:rFonts w:asciiTheme="minorHAnsi" w:eastAsiaTheme="minorHAnsi" w:hAnsiTheme="minorHAnsi" w:cstheme="minorBidi"/>
                <w:szCs w:val="22"/>
              </w:rPr>
              <w:t>.</w:t>
            </w:r>
          </w:p>
          <w:p w14:paraId="1C0745FB" w14:textId="77777777" w:rsidR="00FB794A" w:rsidRPr="00FB794A" w:rsidRDefault="00FB794A" w:rsidP="00F15D40">
            <w:pPr>
              <w:spacing w:before="120" w:after="120"/>
            </w:pPr>
            <w:r>
              <w:rPr>
                <w:color w:val="0D0D0D"/>
                <w:sz w:val="23"/>
                <w:szCs w:val="23"/>
              </w:rPr>
              <w:t xml:space="preserve">Transmittal of this DRI report officially completes the DRI process. </w:t>
            </w:r>
            <w:r>
              <w:t>T</w:t>
            </w:r>
            <w:r w:rsidRPr="008C1D36">
              <w:t>he submitting local government may proceed with whatever final official actions it deems appropriate regarding the proposed project, but it is encouraged to take the materials presented in the DRI report into consideration when rendering its decision.</w:t>
            </w:r>
          </w:p>
        </w:tc>
      </w:tr>
      <w:tr w:rsidR="00726DBB" w:rsidRPr="00240FC5" w14:paraId="3798BDD2" w14:textId="77777777" w:rsidTr="00710EFD">
        <w:trPr>
          <w:trHeight w:val="360"/>
        </w:trPr>
        <w:tc>
          <w:tcPr>
            <w:tcW w:w="3510" w:type="dxa"/>
            <w:tcBorders>
              <w:top w:val="single" w:sz="4" w:space="0" w:color="5B9BD5" w:themeColor="accent1"/>
            </w:tcBorders>
            <w:vAlign w:val="center"/>
          </w:tcPr>
          <w:p w14:paraId="537CADD1" w14:textId="77777777" w:rsidR="00726DBB" w:rsidRPr="00240FC5" w:rsidRDefault="00726DBB" w:rsidP="00F15D40">
            <w:pPr>
              <w:pStyle w:val="NoSpacing"/>
              <w:rPr>
                <w:rFonts w:ascii="Palatino Linotype" w:hAnsi="Palatino Linotype"/>
                <w:b/>
                <w:sz w:val="22"/>
              </w:rPr>
            </w:pPr>
            <w:r w:rsidRPr="00240FC5">
              <w:rPr>
                <w:rFonts w:ascii="Palatino Linotype" w:hAnsi="Palatino Linotype"/>
                <w:b/>
                <w:sz w:val="22"/>
              </w:rPr>
              <w:t>Project I.D.:</w:t>
            </w:r>
          </w:p>
        </w:tc>
        <w:tc>
          <w:tcPr>
            <w:tcW w:w="7290" w:type="dxa"/>
            <w:tcBorders>
              <w:top w:val="single" w:sz="4" w:space="0" w:color="5B9BD5" w:themeColor="accent1"/>
            </w:tcBorders>
            <w:vAlign w:val="center"/>
          </w:tcPr>
          <w:p w14:paraId="71251B64" w14:textId="7EC8356D" w:rsidR="00726DBB" w:rsidRPr="002D2EAC" w:rsidRDefault="00FF120C" w:rsidP="004812CB">
            <w:pPr>
              <w:pStyle w:val="NoSpacing"/>
              <w:rPr>
                <w:rFonts w:ascii="Palatino Linotype" w:hAnsi="Palatino Linotype"/>
                <w:sz w:val="22"/>
                <w:szCs w:val="22"/>
              </w:rPr>
            </w:pPr>
            <w:r>
              <w:rPr>
                <w:rFonts w:ascii="Palatino Linotype" w:hAnsi="Palatino Linotype"/>
                <w:sz w:val="22"/>
                <w:szCs w:val="22"/>
              </w:rPr>
              <w:t>DRI #</w:t>
            </w:r>
            <w:r w:rsidR="002F4AC8">
              <w:rPr>
                <w:rFonts w:ascii="Palatino Linotype" w:hAnsi="Palatino Linotype"/>
                <w:sz w:val="22"/>
                <w:szCs w:val="22"/>
              </w:rPr>
              <w:t xml:space="preserve"> 4092</w:t>
            </w:r>
          </w:p>
        </w:tc>
      </w:tr>
      <w:tr w:rsidR="00726DBB" w:rsidRPr="00240FC5" w14:paraId="10B6204E" w14:textId="77777777" w:rsidTr="00710EFD">
        <w:trPr>
          <w:trHeight w:val="360"/>
        </w:trPr>
        <w:tc>
          <w:tcPr>
            <w:tcW w:w="3510" w:type="dxa"/>
            <w:vAlign w:val="center"/>
          </w:tcPr>
          <w:p w14:paraId="79B6E9BE" w14:textId="77777777" w:rsidR="00726DBB" w:rsidRPr="00240FC5" w:rsidRDefault="00726DBB" w:rsidP="00F15D40">
            <w:pPr>
              <w:rPr>
                <w:b/>
                <w:szCs w:val="22"/>
              </w:rPr>
            </w:pPr>
            <w:r>
              <w:rPr>
                <w:b/>
                <w:szCs w:val="22"/>
              </w:rPr>
              <w:t>N</w:t>
            </w:r>
            <w:r w:rsidRPr="00240FC5">
              <w:rPr>
                <w:b/>
                <w:szCs w:val="22"/>
              </w:rPr>
              <w:t>ame of Project:</w:t>
            </w:r>
          </w:p>
        </w:tc>
        <w:tc>
          <w:tcPr>
            <w:tcW w:w="7290" w:type="dxa"/>
            <w:vAlign w:val="center"/>
          </w:tcPr>
          <w:p w14:paraId="793210A9" w14:textId="22CFD9A0" w:rsidR="00726DBB" w:rsidRPr="002D2EAC" w:rsidRDefault="00962CAF" w:rsidP="00F15D40">
            <w:pPr>
              <w:pStyle w:val="NoSpacing"/>
              <w:rPr>
                <w:rFonts w:ascii="Palatino Linotype" w:hAnsi="Palatino Linotype"/>
                <w:sz w:val="22"/>
                <w:szCs w:val="22"/>
              </w:rPr>
            </w:pPr>
            <w:r>
              <w:rPr>
                <w:rFonts w:ascii="Palatino Linotype" w:hAnsi="Palatino Linotype"/>
                <w:sz w:val="22"/>
                <w:szCs w:val="22"/>
              </w:rPr>
              <w:t>DAB Properties Transfer Station</w:t>
            </w:r>
          </w:p>
        </w:tc>
      </w:tr>
      <w:tr w:rsidR="004B2277" w:rsidRPr="00240FC5" w14:paraId="55CF168E" w14:textId="77777777" w:rsidTr="00710EFD">
        <w:trPr>
          <w:trHeight w:val="360"/>
        </w:trPr>
        <w:tc>
          <w:tcPr>
            <w:tcW w:w="3510" w:type="dxa"/>
            <w:tcBorders>
              <w:bottom w:val="single" w:sz="4" w:space="0" w:color="5B9BD5" w:themeColor="accent1"/>
            </w:tcBorders>
            <w:vAlign w:val="center"/>
          </w:tcPr>
          <w:p w14:paraId="3601FC05" w14:textId="77777777" w:rsidR="004B2277" w:rsidRPr="00240FC5" w:rsidRDefault="004B2277" w:rsidP="00F15D40">
            <w:pPr>
              <w:rPr>
                <w:b/>
                <w:szCs w:val="22"/>
              </w:rPr>
            </w:pPr>
            <w:r w:rsidRPr="00240FC5">
              <w:rPr>
                <w:b/>
                <w:szCs w:val="22"/>
              </w:rPr>
              <w:t xml:space="preserve">Name of Host </w:t>
            </w:r>
            <w:r>
              <w:rPr>
                <w:b/>
                <w:szCs w:val="22"/>
              </w:rPr>
              <w:t>Jurisdiction</w:t>
            </w:r>
            <w:r w:rsidRPr="00240FC5">
              <w:rPr>
                <w:b/>
                <w:szCs w:val="22"/>
              </w:rPr>
              <w:t>:</w:t>
            </w:r>
          </w:p>
        </w:tc>
        <w:tc>
          <w:tcPr>
            <w:tcW w:w="7290" w:type="dxa"/>
            <w:tcBorders>
              <w:bottom w:val="single" w:sz="4" w:space="0" w:color="5B9BD5" w:themeColor="accent1"/>
            </w:tcBorders>
            <w:vAlign w:val="center"/>
          </w:tcPr>
          <w:p w14:paraId="052E21B0" w14:textId="7835ED6A" w:rsidR="004B2277" w:rsidRPr="00710EFD" w:rsidRDefault="00962CAF" w:rsidP="00F15D40">
            <w:pPr>
              <w:pStyle w:val="NoSpacing"/>
              <w:rPr>
                <w:rFonts w:ascii="Palatino Linotype" w:hAnsi="Palatino Linotype"/>
                <w:sz w:val="22"/>
                <w:szCs w:val="22"/>
              </w:rPr>
            </w:pPr>
            <w:r>
              <w:rPr>
                <w:rFonts w:ascii="Palatino Linotype" w:hAnsi="Palatino Linotype"/>
                <w:sz w:val="22"/>
                <w:szCs w:val="22"/>
              </w:rPr>
              <w:t>Walton County</w:t>
            </w:r>
          </w:p>
        </w:tc>
      </w:tr>
    </w:tbl>
    <w:p w14:paraId="04A13994" w14:textId="77777777" w:rsidR="004A48BB" w:rsidRPr="004A48BB" w:rsidRDefault="001F5F55" w:rsidP="00F15D40">
      <w:pPr>
        <w:rPr>
          <w:color w:val="2E74B5" w:themeColor="accent1" w:themeShade="BF"/>
        </w:rPr>
      </w:pPr>
      <w:r>
        <w:rPr>
          <w:b/>
        </w:rPr>
        <w:br/>
      </w:r>
      <w:r w:rsidR="00C45F3B" w:rsidRPr="001F5F55">
        <w:rPr>
          <w:b/>
          <w:color w:val="2E74B5" w:themeColor="accent1" w:themeShade="BF"/>
        </w:rPr>
        <w:t>Background</w:t>
      </w:r>
    </w:p>
    <w:p w14:paraId="55DB0E4C" w14:textId="4250FC45" w:rsidR="004A48BB" w:rsidRDefault="002F4AC8" w:rsidP="00F15D40">
      <w:r>
        <w:t xml:space="preserve">This </w:t>
      </w:r>
      <w:r w:rsidR="00460180">
        <w:t>DRI review was initiated following</w:t>
      </w:r>
      <w:r>
        <w:t xml:space="preserve"> the developer’s request for a conditional use permit</w:t>
      </w:r>
      <w:r w:rsidR="00460180">
        <w:t xml:space="preserve">. Potentially affected parties were asked to submit comments on the proposal during the 15-day period of </w:t>
      </w:r>
      <w:r>
        <w:t>10/30/23–11/14/23</w:t>
      </w:r>
      <w:r w:rsidR="00460180">
        <w:t>.</w:t>
      </w:r>
    </w:p>
    <w:p w14:paraId="5760C931" w14:textId="77777777" w:rsidR="002F4AC8" w:rsidRDefault="002F4AC8" w:rsidP="00F15D40"/>
    <w:p w14:paraId="4FC0577E" w14:textId="77777777" w:rsidR="007E04A0" w:rsidRPr="001F5F55" w:rsidRDefault="007E04A0" w:rsidP="00F15D40">
      <w:pPr>
        <w:rPr>
          <w:b/>
          <w:color w:val="2E74B5" w:themeColor="accent1" w:themeShade="BF"/>
        </w:rPr>
      </w:pPr>
      <w:r w:rsidRPr="001F5F55">
        <w:rPr>
          <w:b/>
          <w:color w:val="2E74B5" w:themeColor="accent1" w:themeShade="BF"/>
        </w:rPr>
        <w:t>Proposed Development</w:t>
      </w:r>
    </w:p>
    <w:p w14:paraId="0EA75B16" w14:textId="209FFEF0" w:rsidR="00962CAF" w:rsidRDefault="00962CAF" w:rsidP="00F15D40">
      <w:pPr>
        <w:rPr>
          <w:rFonts w:cs="Arial"/>
          <w:szCs w:val="20"/>
        </w:rPr>
      </w:pPr>
      <w:r>
        <w:rPr>
          <w:rFonts w:cs="Arial"/>
          <w:szCs w:val="20"/>
        </w:rPr>
        <w:t xml:space="preserve">DAB Properties, LLC., </w:t>
      </w:r>
      <w:r w:rsidRPr="00C37355">
        <w:rPr>
          <w:rFonts w:cs="Arial"/>
          <w:szCs w:val="20"/>
        </w:rPr>
        <w:t xml:space="preserve">is proposing construction of </w:t>
      </w:r>
      <w:r>
        <w:rPr>
          <w:rFonts w:cs="Arial"/>
          <w:szCs w:val="20"/>
        </w:rPr>
        <w:t xml:space="preserve">a 19,000 square-foot waste sorting building and 1,000 square-foot scale station with office </w:t>
      </w:r>
      <w:r w:rsidRPr="00C37355">
        <w:rPr>
          <w:rFonts w:cs="Arial"/>
          <w:szCs w:val="20"/>
        </w:rPr>
        <w:t xml:space="preserve">on a </w:t>
      </w:r>
      <w:r>
        <w:rPr>
          <w:rFonts w:cs="Arial"/>
          <w:szCs w:val="20"/>
        </w:rPr>
        <w:t xml:space="preserve">10-acre </w:t>
      </w:r>
      <w:r w:rsidRPr="00C37355">
        <w:rPr>
          <w:rFonts w:cs="Arial"/>
          <w:szCs w:val="20"/>
        </w:rPr>
        <w:t xml:space="preserve">site </w:t>
      </w:r>
      <w:r>
        <w:rPr>
          <w:rFonts w:cs="Arial"/>
          <w:szCs w:val="20"/>
        </w:rPr>
        <w:t xml:space="preserve">at 898 Adamson Drive </w:t>
      </w:r>
      <w:r w:rsidRPr="00C37355">
        <w:rPr>
          <w:rFonts w:cs="Arial"/>
          <w:szCs w:val="20"/>
        </w:rPr>
        <w:t>in</w:t>
      </w:r>
      <w:r>
        <w:rPr>
          <w:rFonts w:cs="Arial"/>
          <w:szCs w:val="20"/>
        </w:rPr>
        <w:t xml:space="preserve"> </w:t>
      </w:r>
      <w:r w:rsidRPr="004453E8">
        <w:rPr>
          <w:rFonts w:cs="Arial"/>
          <w:szCs w:val="20"/>
        </w:rPr>
        <w:t>Walton County</w:t>
      </w:r>
      <w:r w:rsidRPr="00C37355">
        <w:rPr>
          <w:rFonts w:cs="Arial"/>
          <w:szCs w:val="20"/>
        </w:rPr>
        <w:t>.</w:t>
      </w:r>
      <w:r>
        <w:rPr>
          <w:rFonts w:cs="Arial"/>
          <w:szCs w:val="20"/>
        </w:rPr>
        <w:t xml:space="preserve"> Adamson Drive is adjacent to the site on both the southwest and southeast sides of the site. </w:t>
      </w:r>
      <w:r w:rsidRPr="00962CAF">
        <w:rPr>
          <w:rFonts w:cs="Arial"/>
          <w:szCs w:val="20"/>
        </w:rPr>
        <w:t>The parcel number is C1350028A00.</w:t>
      </w:r>
    </w:p>
    <w:p w14:paraId="45FBD0A5" w14:textId="77777777" w:rsidR="00962CAF" w:rsidRDefault="00962CAF" w:rsidP="00F15D40">
      <w:pPr>
        <w:rPr>
          <w:rFonts w:cs="Arial"/>
          <w:szCs w:val="20"/>
        </w:rPr>
      </w:pPr>
    </w:p>
    <w:p w14:paraId="452E374E" w14:textId="71909FF0" w:rsidR="00CF10D4" w:rsidRDefault="00962CAF">
      <w:pPr>
        <w:rPr>
          <w:b/>
          <w:color w:val="2E74B5" w:themeColor="accent1" w:themeShade="BF"/>
        </w:rPr>
      </w:pPr>
      <w:r>
        <w:rPr>
          <w:rFonts w:cs="Arial"/>
          <w:szCs w:val="20"/>
        </w:rPr>
        <w:t xml:space="preserve">Waste would be sorted in the building and then hauled to a landfill or recycling center. The application notes that the building would be equipped with an odor-neutralizing system. The site plan also includes a septic drain field and stormwater management pond. The site would include a 100-foot buffer on the front (southwest), rear (northeast), and northwest sides of the site and a 50’foot buffer on the southeast side of the site. Each border with Adamson Drive would include a 3-foot vegetated berm and a vehicular entrance. Currently the site is wooded. </w:t>
      </w:r>
      <w:r>
        <w:t xml:space="preserve">The project would be completed in one phase, with an estimated completion date </w:t>
      </w:r>
      <w:r w:rsidRPr="00C37355">
        <w:t xml:space="preserve">in </w:t>
      </w:r>
      <w:r>
        <w:t>December 2024.</w:t>
      </w:r>
      <w:r w:rsidR="00CF10D4">
        <w:rPr>
          <w:b/>
          <w:color w:val="2E74B5" w:themeColor="accent1" w:themeShade="BF"/>
        </w:rPr>
        <w:br w:type="page"/>
      </w:r>
    </w:p>
    <w:p w14:paraId="36194F43" w14:textId="4AA8B4D5" w:rsidR="007E04A0" w:rsidRPr="001F5F55" w:rsidRDefault="007E04A0" w:rsidP="00F15D40">
      <w:pPr>
        <w:rPr>
          <w:b/>
          <w:color w:val="2E74B5" w:themeColor="accent1" w:themeShade="BF"/>
        </w:rPr>
      </w:pPr>
      <w:r w:rsidRPr="001F5F55">
        <w:rPr>
          <w:b/>
          <w:color w:val="2E74B5" w:themeColor="accent1" w:themeShade="BF"/>
        </w:rPr>
        <w:lastRenderedPageBreak/>
        <w:t>Compatibility with Existing Plans</w:t>
      </w:r>
    </w:p>
    <w:p w14:paraId="5C11CAFC" w14:textId="167B516F" w:rsidR="00A10F6D" w:rsidRPr="00A10F6D" w:rsidRDefault="00A10F6D" w:rsidP="00962CAF">
      <w:pPr>
        <w:rPr>
          <w:rFonts w:cs="Arial"/>
          <w:szCs w:val="20"/>
          <w:u w:val="single"/>
        </w:rPr>
      </w:pPr>
      <w:r>
        <w:rPr>
          <w:rFonts w:cs="Arial"/>
          <w:szCs w:val="20"/>
          <w:u w:val="single"/>
        </w:rPr>
        <w:t>Walton County Comprehensive Plan</w:t>
      </w:r>
    </w:p>
    <w:p w14:paraId="5E669D4A" w14:textId="1702A8C8" w:rsidR="00AB0165" w:rsidRDefault="00962CAF" w:rsidP="00962CAF">
      <w:pPr>
        <w:rPr>
          <w:rFonts w:cs="Arial"/>
          <w:szCs w:val="20"/>
        </w:rPr>
      </w:pPr>
      <w:r>
        <w:rPr>
          <w:rFonts w:cs="Arial"/>
          <w:szCs w:val="20"/>
        </w:rPr>
        <w:t xml:space="preserve">The site is identified as </w:t>
      </w:r>
      <w:r w:rsidR="00CF10D4">
        <w:rPr>
          <w:rFonts w:cs="Arial"/>
          <w:szCs w:val="20"/>
        </w:rPr>
        <w:t>“</w:t>
      </w:r>
      <w:r>
        <w:rPr>
          <w:rFonts w:cs="Arial"/>
          <w:szCs w:val="20"/>
        </w:rPr>
        <w:t>Employmen</w:t>
      </w:r>
      <w:r w:rsidR="00CF10D4">
        <w:rPr>
          <w:rFonts w:cs="Arial"/>
          <w:szCs w:val="20"/>
        </w:rPr>
        <w:t>t Center”</w:t>
      </w:r>
      <w:r>
        <w:rPr>
          <w:rFonts w:cs="Arial"/>
          <w:szCs w:val="20"/>
        </w:rPr>
        <w:t xml:space="preserve"> on the county's Character Areas Map (dated 5/31/2022). </w:t>
      </w:r>
      <w:r w:rsidR="00D14FE0">
        <w:rPr>
          <w:rFonts w:cs="Arial"/>
          <w:szCs w:val="20"/>
        </w:rPr>
        <w:t>The proposal is consistent with this character area</w:t>
      </w:r>
      <w:r w:rsidR="00AB0165">
        <w:rPr>
          <w:rFonts w:cs="Arial"/>
          <w:szCs w:val="20"/>
        </w:rPr>
        <w:t xml:space="preserve">’s narrative in the Walton County Comprehensive Plan, as summarized in the table below. </w:t>
      </w:r>
    </w:p>
    <w:p w14:paraId="06B26BCB" w14:textId="77777777" w:rsidR="00AB0165" w:rsidRDefault="00AB0165" w:rsidP="00962CAF">
      <w:pPr>
        <w:rPr>
          <w:rFonts w:cs="Arial"/>
          <w:szCs w:val="20"/>
        </w:rPr>
      </w:pPr>
    </w:p>
    <w:p w14:paraId="3E9FDDC3" w14:textId="17475120" w:rsidR="00AB0165" w:rsidRPr="00D465EA" w:rsidRDefault="00AB0165" w:rsidP="00AB0165">
      <w:pPr>
        <w:jc w:val="center"/>
        <w:rPr>
          <w:rFonts w:cs="Arial"/>
          <w:b/>
          <w:bCs/>
          <w:szCs w:val="20"/>
        </w:rPr>
      </w:pPr>
      <w:r>
        <w:rPr>
          <w:rFonts w:cs="Arial"/>
          <w:b/>
          <w:bCs/>
          <w:szCs w:val="20"/>
        </w:rPr>
        <w:t>Character Area Compatibility</w:t>
      </w:r>
    </w:p>
    <w:tbl>
      <w:tblPr>
        <w:tblStyle w:val="PlainTable1"/>
        <w:tblW w:w="10790" w:type="dxa"/>
        <w:jc w:val="center"/>
        <w:tblLook w:val="0480" w:firstRow="0" w:lastRow="0" w:firstColumn="1" w:lastColumn="0" w:noHBand="0" w:noVBand="1"/>
      </w:tblPr>
      <w:tblGrid>
        <w:gridCol w:w="1448"/>
        <w:gridCol w:w="3783"/>
        <w:gridCol w:w="5559"/>
      </w:tblGrid>
      <w:tr w:rsidR="00AB0165" w14:paraId="34673452" w14:textId="77777777" w:rsidTr="00C90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160B4953" w14:textId="6E4A5318" w:rsidR="00AB0165" w:rsidRPr="002B5E22" w:rsidRDefault="00AB0165" w:rsidP="00C90288">
            <w:pPr>
              <w:rPr>
                <w:rFonts w:cs="Arial"/>
                <w:smallCaps/>
                <w:sz w:val="20"/>
                <w:szCs w:val="16"/>
              </w:rPr>
            </w:pPr>
            <w:r>
              <w:rPr>
                <w:rFonts w:cs="Arial"/>
                <w:smallCaps/>
                <w:sz w:val="20"/>
                <w:szCs w:val="16"/>
              </w:rPr>
              <w:t>Character Area</w:t>
            </w:r>
          </w:p>
        </w:tc>
        <w:tc>
          <w:tcPr>
            <w:tcW w:w="3733" w:type="dxa"/>
          </w:tcPr>
          <w:p w14:paraId="4A08B391" w14:textId="74E61CBD" w:rsidR="00AB0165" w:rsidRPr="002B5E22" w:rsidRDefault="002D2A5B" w:rsidP="00C90288">
            <w:pPr>
              <w:cnfStyle w:val="000000100000" w:firstRow="0" w:lastRow="0" w:firstColumn="0" w:lastColumn="0" w:oddVBand="0" w:evenVBand="0" w:oddHBand="1" w:evenHBand="0" w:firstRowFirstColumn="0" w:firstRowLastColumn="0" w:lastRowFirstColumn="0" w:lastRowLastColumn="0"/>
              <w:rPr>
                <w:rFonts w:cs="Arial"/>
                <w:b/>
                <w:bCs/>
                <w:smallCaps/>
                <w:sz w:val="20"/>
                <w:szCs w:val="16"/>
              </w:rPr>
            </w:pPr>
            <w:r>
              <w:rPr>
                <w:rFonts w:cs="Arial"/>
                <w:b/>
                <w:bCs/>
                <w:smallCaps/>
                <w:sz w:val="20"/>
                <w:szCs w:val="16"/>
              </w:rPr>
              <w:t xml:space="preserve">Summary of </w:t>
            </w:r>
            <w:r w:rsidR="00AB0165">
              <w:rPr>
                <w:rFonts w:cs="Arial"/>
                <w:b/>
                <w:bCs/>
                <w:smallCaps/>
                <w:sz w:val="20"/>
                <w:szCs w:val="16"/>
              </w:rPr>
              <w:t xml:space="preserve">Character Area </w:t>
            </w:r>
            <w:r>
              <w:rPr>
                <w:rFonts w:cs="Arial"/>
                <w:b/>
                <w:bCs/>
                <w:smallCaps/>
                <w:sz w:val="20"/>
                <w:szCs w:val="16"/>
              </w:rPr>
              <w:t>Narrative</w:t>
            </w:r>
          </w:p>
        </w:tc>
        <w:tc>
          <w:tcPr>
            <w:tcW w:w="5485" w:type="dxa"/>
          </w:tcPr>
          <w:p w14:paraId="4ADDA747" w14:textId="77777777" w:rsidR="00AB0165" w:rsidRPr="002B5E22" w:rsidRDefault="00AB0165" w:rsidP="00C90288">
            <w:pPr>
              <w:cnfStyle w:val="000000100000" w:firstRow="0" w:lastRow="0" w:firstColumn="0" w:lastColumn="0" w:oddVBand="0" w:evenVBand="0" w:oddHBand="1" w:evenHBand="0" w:firstRowFirstColumn="0" w:firstRowLastColumn="0" w:lastRowFirstColumn="0" w:lastRowLastColumn="0"/>
              <w:rPr>
                <w:rFonts w:cs="Arial"/>
                <w:b/>
                <w:bCs/>
                <w:smallCaps/>
                <w:sz w:val="20"/>
                <w:szCs w:val="16"/>
              </w:rPr>
            </w:pPr>
            <w:r w:rsidRPr="002B5E22">
              <w:rPr>
                <w:rFonts w:cs="Arial"/>
                <w:b/>
                <w:bCs/>
                <w:smallCaps/>
                <w:sz w:val="20"/>
                <w:szCs w:val="16"/>
              </w:rPr>
              <w:t>Proposed Development’s Compatibility with Character Area</w:t>
            </w:r>
          </w:p>
        </w:tc>
      </w:tr>
      <w:tr w:rsidR="00AB0165" w14:paraId="4C8E0D6A" w14:textId="77777777" w:rsidTr="00C90288">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64F0C58" w14:textId="2B318798" w:rsidR="00AB0165" w:rsidRPr="00A536BE" w:rsidRDefault="00AB0165" w:rsidP="00C90288">
            <w:pPr>
              <w:rPr>
                <w:rFonts w:cs="Arial"/>
                <w:smallCaps/>
                <w:sz w:val="20"/>
                <w:szCs w:val="20"/>
              </w:rPr>
            </w:pPr>
            <w:r>
              <w:rPr>
                <w:rFonts w:cs="Arial"/>
                <w:smallCaps/>
                <w:sz w:val="20"/>
                <w:szCs w:val="20"/>
              </w:rPr>
              <w:t>Employment Center</w:t>
            </w:r>
            <w:r w:rsidRPr="00A536BE">
              <w:rPr>
                <w:rFonts w:cs="Arial"/>
                <w:smallCaps/>
                <w:sz w:val="20"/>
                <w:szCs w:val="20"/>
              </w:rPr>
              <w:t xml:space="preserve"> </w:t>
            </w:r>
          </w:p>
        </w:tc>
        <w:tc>
          <w:tcPr>
            <w:tcW w:w="3733" w:type="dxa"/>
          </w:tcPr>
          <w:p w14:paraId="08164F0D" w14:textId="48C9DB54" w:rsidR="00AB0165" w:rsidRDefault="00AB0165" w:rsidP="00C902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Summary description in Comprehensive Plan: </w:t>
            </w:r>
            <w:r>
              <w:rPr>
                <w:rFonts w:cs="Arial"/>
                <w:sz w:val="20"/>
                <w:szCs w:val="20"/>
              </w:rPr>
              <w:br/>
              <w:t>“</w:t>
            </w:r>
            <w:r w:rsidRPr="00AB0165">
              <w:rPr>
                <w:rFonts w:cs="Arial"/>
                <w:sz w:val="20"/>
                <w:szCs w:val="20"/>
              </w:rPr>
              <w:t>larger-scale commercial, including light industry, office, retail, and service</w:t>
            </w:r>
            <w:r>
              <w:rPr>
                <w:rFonts w:cs="Arial"/>
                <w:sz w:val="20"/>
                <w:szCs w:val="20"/>
              </w:rPr>
              <w:t>”</w:t>
            </w:r>
          </w:p>
          <w:p w14:paraId="6109B25E" w14:textId="77777777" w:rsidR="00AB0165" w:rsidRDefault="00AB0165" w:rsidP="00C9028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0E15074" w14:textId="77777777" w:rsidR="00AB0165" w:rsidRDefault="00AB0165" w:rsidP="00C902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Appropriate land uses listed for this character area: Commercial, Office, Industry</w:t>
            </w:r>
          </w:p>
          <w:p w14:paraId="7D321378" w14:textId="77777777" w:rsidR="00AB0165" w:rsidRDefault="00AB0165" w:rsidP="00C9028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1999503" w14:textId="0FCD3265" w:rsidR="00AB0165" w:rsidRPr="00A536BE" w:rsidRDefault="00AB0165" w:rsidP="00AB0165">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Zoning compatibility listed: </w:t>
            </w:r>
            <w:r w:rsidRPr="00AB0165">
              <w:rPr>
                <w:rFonts w:cs="Arial"/>
                <w:sz w:val="20"/>
                <w:szCs w:val="20"/>
              </w:rPr>
              <w:t>B1, B2, B3, O-I,</w:t>
            </w:r>
            <w:r>
              <w:rPr>
                <w:rFonts w:cs="Arial"/>
                <w:sz w:val="20"/>
                <w:szCs w:val="20"/>
              </w:rPr>
              <w:t xml:space="preserve"> </w:t>
            </w:r>
            <w:r w:rsidRPr="00AB0165">
              <w:rPr>
                <w:rFonts w:cs="Arial"/>
                <w:sz w:val="20"/>
                <w:szCs w:val="20"/>
              </w:rPr>
              <w:t>M1, M2, MUBP,</w:t>
            </w:r>
            <w:r>
              <w:rPr>
                <w:rFonts w:cs="Arial"/>
                <w:sz w:val="20"/>
                <w:szCs w:val="20"/>
              </w:rPr>
              <w:t xml:space="preserve"> </w:t>
            </w:r>
            <w:r w:rsidRPr="00AB0165">
              <w:rPr>
                <w:rFonts w:cs="Arial"/>
                <w:sz w:val="20"/>
                <w:szCs w:val="20"/>
              </w:rPr>
              <w:t>SSBP</w:t>
            </w:r>
          </w:p>
        </w:tc>
        <w:tc>
          <w:tcPr>
            <w:tcW w:w="5485" w:type="dxa"/>
          </w:tcPr>
          <w:p w14:paraId="031EB839" w14:textId="7E2850A8" w:rsidR="00AB0165" w:rsidRPr="0033536F" w:rsidRDefault="00AB0165" w:rsidP="00C902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 waste transfer station is generally considered a light industrial land use. The compatibility of light industrial land uses is stated directly in the plan as part of both the character area description and the list of appropriate land uses. The list of compatible zoning districts for this character area includes both M1 (light industrial) and M2 (heavy industrial).</w:t>
            </w:r>
          </w:p>
        </w:tc>
      </w:tr>
    </w:tbl>
    <w:p w14:paraId="2DF35EF6" w14:textId="77777777" w:rsidR="00AB0165" w:rsidRDefault="00AB0165" w:rsidP="00962CAF">
      <w:pPr>
        <w:rPr>
          <w:rFonts w:cs="Arial"/>
          <w:szCs w:val="20"/>
        </w:rPr>
      </w:pPr>
    </w:p>
    <w:p w14:paraId="7307E200" w14:textId="7E7E14C9" w:rsidR="00A10F6D" w:rsidRPr="00A10F6D" w:rsidRDefault="00A10F6D" w:rsidP="00A10F6D">
      <w:pPr>
        <w:rPr>
          <w:szCs w:val="20"/>
          <w:u w:val="single"/>
        </w:rPr>
      </w:pPr>
      <w:r>
        <w:rPr>
          <w:szCs w:val="20"/>
          <w:u w:val="single"/>
        </w:rPr>
        <w:t>Regional Solid Waste Management Plan</w:t>
      </w:r>
    </w:p>
    <w:p w14:paraId="64A7DE29" w14:textId="67B6B0AF" w:rsidR="00A10F6D" w:rsidRDefault="00A10F6D" w:rsidP="00A10F6D">
      <w:pPr>
        <w:rPr>
          <w:szCs w:val="20"/>
        </w:rPr>
      </w:pPr>
      <w:r w:rsidRPr="00B4300F">
        <w:rPr>
          <w:szCs w:val="20"/>
        </w:rPr>
        <w:t xml:space="preserve">The Northeast Georgia Regional Solid Waste Management </w:t>
      </w:r>
      <w:r w:rsidRPr="001B409E">
        <w:rPr>
          <w:szCs w:val="20"/>
        </w:rPr>
        <w:t>Authority’s Regional Solid Waste Management Plan: 2021–2031</w:t>
      </w:r>
      <w:r w:rsidRPr="00B4300F">
        <w:rPr>
          <w:szCs w:val="20"/>
        </w:rPr>
        <w:t xml:space="preserve"> (SWMP) identifies</w:t>
      </w:r>
      <w:r>
        <w:rPr>
          <w:szCs w:val="20"/>
        </w:rPr>
        <w:t xml:space="preserve"> three goals for Walton County, one of which is to ensure that the County continues to pursue a 25% reduction in the amount of solid waste received at disposal facilities. The proposed facility might help the County in its pursuit of that goal, if operation of the proposed transfer facility would result in the diversion of recyclables that would otherwise be taken to disposal facilities; however, adding a new transfer facility</w:t>
      </w:r>
      <w:r w:rsidR="008808FA">
        <w:rPr>
          <w:szCs w:val="20"/>
        </w:rPr>
        <w:t xml:space="preserve"> in Walton County</w:t>
      </w:r>
      <w:r>
        <w:rPr>
          <w:szCs w:val="20"/>
        </w:rPr>
        <w:t xml:space="preserve"> was not specifically identified in the SWMP as a need, goal, or action. Two relevant actions specified in the SWMP’s community work program are for the County to ensure proper land use controls are in place and to review all permit requests for new solid waste handling facilities or expansions to determine their consistency with the SWMP.</w:t>
      </w:r>
    </w:p>
    <w:p w14:paraId="3E397DE7" w14:textId="77777777" w:rsidR="00AB0165" w:rsidRDefault="00AB0165" w:rsidP="00962CAF">
      <w:pPr>
        <w:rPr>
          <w:rFonts w:cs="Arial"/>
          <w:szCs w:val="20"/>
        </w:rPr>
      </w:pPr>
    </w:p>
    <w:p w14:paraId="2548BF0E" w14:textId="54DD21B8" w:rsidR="00A10F6D" w:rsidRPr="00A10F6D" w:rsidRDefault="00A10F6D" w:rsidP="00A10F6D">
      <w:pPr>
        <w:rPr>
          <w:szCs w:val="20"/>
          <w:u w:val="single"/>
        </w:rPr>
      </w:pPr>
      <w:r>
        <w:rPr>
          <w:szCs w:val="20"/>
          <w:u w:val="single"/>
        </w:rPr>
        <w:t>Northeast Georgia Regional Plan</w:t>
      </w:r>
    </w:p>
    <w:p w14:paraId="321AFF60" w14:textId="77777777" w:rsidR="00962CAF" w:rsidRDefault="00962CAF" w:rsidP="00962CAF">
      <w:pPr>
        <w:rPr>
          <w:rFonts w:cs="Arial"/>
          <w:szCs w:val="20"/>
        </w:rPr>
      </w:pPr>
      <w:r w:rsidRPr="00526730">
        <w:rPr>
          <w:rFonts w:cs="Arial"/>
          <w:szCs w:val="20"/>
        </w:rPr>
        <w:t xml:space="preserve">The site is identified </w:t>
      </w:r>
      <w:r w:rsidRPr="00A6737F">
        <w:rPr>
          <w:rFonts w:cs="Arial"/>
          <w:szCs w:val="20"/>
        </w:rPr>
        <w:t>as “Developed” on the</w:t>
      </w:r>
      <w:r w:rsidRPr="00526730">
        <w:rPr>
          <w:rFonts w:cs="Arial"/>
          <w:szCs w:val="20"/>
        </w:rPr>
        <w:t xml:space="preserve"> Northeast Georgia Regional Plan</w:t>
      </w:r>
      <w:r>
        <w:rPr>
          <w:rFonts w:cs="Arial"/>
          <w:szCs w:val="20"/>
        </w:rPr>
        <w:t>’s</w:t>
      </w:r>
      <w:r w:rsidRPr="00526730">
        <w:rPr>
          <w:rFonts w:cs="Arial"/>
          <w:szCs w:val="20"/>
        </w:rPr>
        <w:t xml:space="preserve"> Regional Land Use Map (dated </w:t>
      </w:r>
      <w:r>
        <w:rPr>
          <w:rFonts w:cs="Arial"/>
          <w:szCs w:val="20"/>
        </w:rPr>
        <w:t>6/15/</w:t>
      </w:r>
      <w:r w:rsidRPr="00526730">
        <w:rPr>
          <w:rFonts w:cs="Arial"/>
          <w:szCs w:val="20"/>
        </w:rPr>
        <w:t>20</w:t>
      </w:r>
      <w:r>
        <w:rPr>
          <w:rFonts w:cs="Arial"/>
          <w:szCs w:val="20"/>
        </w:rPr>
        <w:t>23).</w:t>
      </w:r>
      <w:r w:rsidRPr="000B397D">
        <w:t xml:space="preserve"> </w:t>
      </w:r>
      <w:r w:rsidRPr="000B397D">
        <w:rPr>
          <w:rFonts w:cs="Arial"/>
          <w:szCs w:val="20"/>
        </w:rPr>
        <w:t>The Regional Plan recommends development that</w:t>
      </w:r>
      <w:r>
        <w:rPr>
          <w:rFonts w:cs="Arial"/>
          <w:szCs w:val="20"/>
        </w:rPr>
        <w:t>:</w:t>
      </w:r>
      <w:r w:rsidRPr="000B397D">
        <w:rPr>
          <w:rFonts w:cs="Arial"/>
          <w:szCs w:val="20"/>
        </w:rPr>
        <w:t xml:space="preserve"> </w:t>
      </w:r>
    </w:p>
    <w:p w14:paraId="50C3D765" w14:textId="77777777" w:rsidR="00962CAF" w:rsidRPr="00A10F6D" w:rsidRDefault="00962CAF" w:rsidP="00962CAF">
      <w:pPr>
        <w:pStyle w:val="ListParagraph"/>
        <w:numPr>
          <w:ilvl w:val="0"/>
          <w:numId w:val="3"/>
        </w:numPr>
        <w:rPr>
          <w:rFonts w:ascii="Arial" w:hAnsi="Arial" w:cs="Arial"/>
          <w:sz w:val="22"/>
          <w:szCs w:val="22"/>
        </w:rPr>
      </w:pPr>
      <w:r w:rsidRPr="00A10F6D">
        <w:rPr>
          <w:rFonts w:cs="Arial"/>
          <w:sz w:val="22"/>
          <w:szCs w:val="22"/>
        </w:rPr>
        <w:t>Enhances economic mobility and competitiveness</w:t>
      </w:r>
    </w:p>
    <w:p w14:paraId="042B2F83" w14:textId="77777777" w:rsidR="00962CAF" w:rsidRPr="00A10F6D" w:rsidRDefault="00962CAF" w:rsidP="00962CAF">
      <w:pPr>
        <w:pStyle w:val="ListParagraph"/>
        <w:numPr>
          <w:ilvl w:val="0"/>
          <w:numId w:val="3"/>
        </w:numPr>
        <w:rPr>
          <w:rFonts w:ascii="Arial" w:hAnsi="Arial" w:cs="Arial"/>
          <w:sz w:val="22"/>
          <w:szCs w:val="22"/>
        </w:rPr>
      </w:pPr>
      <w:r w:rsidRPr="00A10F6D">
        <w:rPr>
          <w:rFonts w:cs="Arial"/>
          <w:sz w:val="22"/>
          <w:szCs w:val="22"/>
        </w:rPr>
        <w:t>Elevates public health and equity</w:t>
      </w:r>
    </w:p>
    <w:p w14:paraId="07CA64B3" w14:textId="77777777" w:rsidR="00962CAF" w:rsidRPr="00A10F6D" w:rsidRDefault="00962CAF" w:rsidP="00962CAF">
      <w:pPr>
        <w:pStyle w:val="ListParagraph"/>
        <w:numPr>
          <w:ilvl w:val="0"/>
          <w:numId w:val="3"/>
        </w:numPr>
        <w:rPr>
          <w:rFonts w:ascii="Arial" w:hAnsi="Arial" w:cs="Arial"/>
          <w:sz w:val="22"/>
          <w:szCs w:val="22"/>
        </w:rPr>
      </w:pPr>
      <w:r w:rsidRPr="00A10F6D">
        <w:rPr>
          <w:rFonts w:cs="Arial"/>
          <w:sz w:val="22"/>
          <w:szCs w:val="22"/>
        </w:rPr>
        <w:t>Supports and adds value to existing communities</w:t>
      </w:r>
    </w:p>
    <w:p w14:paraId="7A85CBAA" w14:textId="77777777" w:rsidR="00962CAF" w:rsidRPr="00A10F6D" w:rsidRDefault="00962CAF" w:rsidP="00962CAF">
      <w:pPr>
        <w:pStyle w:val="ListParagraph"/>
        <w:numPr>
          <w:ilvl w:val="0"/>
          <w:numId w:val="3"/>
        </w:numPr>
        <w:rPr>
          <w:rFonts w:ascii="Arial" w:hAnsi="Arial" w:cs="Arial"/>
          <w:sz w:val="22"/>
          <w:szCs w:val="22"/>
        </w:rPr>
      </w:pPr>
      <w:r w:rsidRPr="00A10F6D">
        <w:rPr>
          <w:rFonts w:cs="Arial"/>
          <w:sz w:val="22"/>
          <w:szCs w:val="22"/>
        </w:rPr>
        <w:t>Creates housing that is diverse, adequate, equitable, and affordable</w:t>
      </w:r>
    </w:p>
    <w:p w14:paraId="657032AA" w14:textId="77777777" w:rsidR="00962CAF" w:rsidRPr="00A10F6D" w:rsidRDefault="00962CAF" w:rsidP="00962CAF">
      <w:pPr>
        <w:pStyle w:val="ListParagraph"/>
        <w:numPr>
          <w:ilvl w:val="0"/>
          <w:numId w:val="3"/>
        </w:numPr>
        <w:rPr>
          <w:rFonts w:ascii="Arial" w:hAnsi="Arial" w:cs="Arial"/>
          <w:sz w:val="22"/>
          <w:szCs w:val="22"/>
        </w:rPr>
      </w:pPr>
      <w:r w:rsidRPr="00A10F6D">
        <w:rPr>
          <w:rFonts w:cs="Arial"/>
          <w:sz w:val="22"/>
          <w:szCs w:val="22"/>
        </w:rPr>
        <w:t>Includes transportation choices and is well-connected with existing and planned transportation options, and</w:t>
      </w:r>
    </w:p>
    <w:p w14:paraId="737956E7" w14:textId="71D2EF36" w:rsidR="002D2A5B" w:rsidRPr="00A10F6D" w:rsidRDefault="00962CAF" w:rsidP="002D2A5B">
      <w:pPr>
        <w:pStyle w:val="ListParagraph"/>
        <w:numPr>
          <w:ilvl w:val="0"/>
          <w:numId w:val="3"/>
        </w:numPr>
        <w:rPr>
          <w:rFonts w:ascii="Arial" w:hAnsi="Arial" w:cs="Arial"/>
          <w:sz w:val="22"/>
          <w:szCs w:val="22"/>
        </w:rPr>
      </w:pPr>
      <w:r w:rsidRPr="00A10F6D">
        <w:rPr>
          <w:rFonts w:cs="Arial"/>
          <w:sz w:val="22"/>
          <w:szCs w:val="22"/>
        </w:rPr>
        <w:t>Protects natural and historic resources</w:t>
      </w:r>
      <w:r w:rsidR="008F64AC" w:rsidRPr="00A10F6D">
        <w:rPr>
          <w:rFonts w:cs="Arial"/>
          <w:sz w:val="22"/>
          <w:szCs w:val="22"/>
        </w:rPr>
        <w:t>.</w:t>
      </w:r>
    </w:p>
    <w:p w14:paraId="64315CA8" w14:textId="77777777" w:rsidR="00A10F6D" w:rsidRDefault="00A10F6D">
      <w:pPr>
        <w:rPr>
          <w:rFonts w:cs="Arial"/>
          <w:szCs w:val="20"/>
        </w:rPr>
      </w:pPr>
      <w:r>
        <w:rPr>
          <w:rFonts w:cs="Arial"/>
          <w:szCs w:val="20"/>
        </w:rPr>
        <w:br w:type="page"/>
      </w:r>
    </w:p>
    <w:p w14:paraId="0E8DD899" w14:textId="0E5DC941" w:rsidR="008F64AC" w:rsidRDefault="002D2A5B">
      <w:pPr>
        <w:rPr>
          <w:rFonts w:cs="Arial"/>
          <w:szCs w:val="20"/>
        </w:rPr>
      </w:pPr>
      <w:r>
        <w:rPr>
          <w:rFonts w:cs="Arial"/>
          <w:szCs w:val="20"/>
        </w:rPr>
        <w:lastRenderedPageBreak/>
        <w:t xml:space="preserve">The proposed plan’s compatibility with </w:t>
      </w:r>
      <w:r w:rsidR="008F64AC">
        <w:rPr>
          <w:rFonts w:cs="Arial"/>
          <w:szCs w:val="20"/>
        </w:rPr>
        <w:t>the</w:t>
      </w:r>
      <w:r w:rsidR="00A10F6D">
        <w:rPr>
          <w:rFonts w:cs="Arial"/>
          <w:szCs w:val="20"/>
        </w:rPr>
        <w:t xml:space="preserve"> Regional Plan’s</w:t>
      </w:r>
      <w:r w:rsidR="008F64AC">
        <w:rPr>
          <w:rFonts w:cs="Arial"/>
          <w:szCs w:val="20"/>
        </w:rPr>
        <w:t xml:space="preserve"> recommendations is summarized in the table </w:t>
      </w:r>
      <w:r w:rsidR="00A10F6D">
        <w:rPr>
          <w:rFonts w:cs="Arial"/>
          <w:szCs w:val="20"/>
        </w:rPr>
        <w:t>below</w:t>
      </w:r>
      <w:r w:rsidR="008F64AC">
        <w:rPr>
          <w:rFonts w:cs="Arial"/>
          <w:szCs w:val="20"/>
        </w:rPr>
        <w:t>.</w:t>
      </w:r>
    </w:p>
    <w:p w14:paraId="36CCE62B" w14:textId="77777777" w:rsidR="002D2A5B" w:rsidRPr="00D46DEA" w:rsidRDefault="002D2A5B" w:rsidP="002D2A5B">
      <w:pPr>
        <w:jc w:val="center"/>
        <w:rPr>
          <w:b/>
          <w:bCs/>
        </w:rPr>
      </w:pPr>
      <w:r>
        <w:rPr>
          <w:b/>
          <w:bCs/>
        </w:rPr>
        <w:t>Regional Plan Compatibility</w:t>
      </w:r>
    </w:p>
    <w:tbl>
      <w:tblPr>
        <w:tblStyle w:val="PlainTable1"/>
        <w:tblW w:w="0" w:type="auto"/>
        <w:tblLayout w:type="fixed"/>
        <w:tblLook w:val="04A0" w:firstRow="1" w:lastRow="0" w:firstColumn="1" w:lastColumn="0" w:noHBand="0" w:noVBand="1"/>
      </w:tblPr>
      <w:tblGrid>
        <w:gridCol w:w="2965"/>
        <w:gridCol w:w="7825"/>
      </w:tblGrid>
      <w:tr w:rsidR="002D2A5B" w14:paraId="21CFD86B" w14:textId="77777777" w:rsidTr="00C902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6DA6CEAB" w14:textId="77777777" w:rsidR="002D2A5B" w:rsidRPr="00476332" w:rsidRDefault="002D2A5B" w:rsidP="00C90288">
            <w:pPr>
              <w:rPr>
                <w:rFonts w:cs="Arial"/>
                <w:smallCaps/>
                <w:sz w:val="20"/>
                <w:szCs w:val="18"/>
              </w:rPr>
            </w:pPr>
            <w:r w:rsidRPr="00476332">
              <w:rPr>
                <w:rFonts w:cs="Arial"/>
                <w:smallCaps/>
                <w:sz w:val="20"/>
                <w:szCs w:val="18"/>
              </w:rPr>
              <w:t>Regional Plan Recommendations</w:t>
            </w:r>
          </w:p>
        </w:tc>
        <w:tc>
          <w:tcPr>
            <w:tcW w:w="7825" w:type="dxa"/>
            <w:tcBorders>
              <w:bottom w:val="single" w:sz="12" w:space="0" w:color="auto"/>
            </w:tcBorders>
          </w:tcPr>
          <w:p w14:paraId="3353682A" w14:textId="77777777" w:rsidR="002D2A5B" w:rsidRPr="00476332" w:rsidRDefault="002D2A5B" w:rsidP="00C90288">
            <w:pPr>
              <w:cnfStyle w:val="100000000000" w:firstRow="1" w:lastRow="0" w:firstColumn="0" w:lastColumn="0" w:oddVBand="0" w:evenVBand="0" w:oddHBand="0" w:evenHBand="0" w:firstRowFirstColumn="0" w:firstRowLastColumn="0" w:lastRowFirstColumn="0" w:lastRowLastColumn="0"/>
              <w:rPr>
                <w:rFonts w:cs="Arial"/>
                <w:smallCaps/>
                <w:sz w:val="20"/>
                <w:szCs w:val="18"/>
              </w:rPr>
            </w:pPr>
            <w:r w:rsidRPr="00476332">
              <w:rPr>
                <w:rFonts w:cs="Arial"/>
                <w:smallCaps/>
                <w:sz w:val="20"/>
                <w:szCs w:val="18"/>
              </w:rPr>
              <w:t>Proposed Project’s Compatibility with Recommendation</w:t>
            </w:r>
          </w:p>
        </w:tc>
      </w:tr>
      <w:tr w:rsidR="002D2A5B" w14:paraId="79CCED1F" w14:textId="77777777" w:rsidTr="00C902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tcPr>
          <w:p w14:paraId="3DAE4D73" w14:textId="77777777" w:rsidR="002D2A5B" w:rsidRPr="00476332" w:rsidRDefault="002D2A5B" w:rsidP="00C90288">
            <w:pPr>
              <w:rPr>
                <w:rFonts w:cs="Arial"/>
                <w:sz w:val="20"/>
                <w:szCs w:val="18"/>
              </w:rPr>
            </w:pPr>
            <w:r w:rsidRPr="00476332">
              <w:rPr>
                <w:rFonts w:cs="Arial"/>
                <w:sz w:val="20"/>
                <w:szCs w:val="18"/>
              </w:rPr>
              <w:t>Enhance economic mobility and competitiveness</w:t>
            </w:r>
          </w:p>
        </w:tc>
        <w:tc>
          <w:tcPr>
            <w:tcW w:w="7825" w:type="dxa"/>
            <w:tcBorders>
              <w:top w:val="single" w:sz="12" w:space="0" w:color="auto"/>
            </w:tcBorders>
          </w:tcPr>
          <w:p w14:paraId="62DE00AE" w14:textId="460F1E9D" w:rsidR="007B15C5" w:rsidRPr="00CA3C7B" w:rsidRDefault="008F64AC" w:rsidP="00D00D3A">
            <w:pPr>
              <w:cnfStyle w:val="000000100000" w:firstRow="0" w:lastRow="0" w:firstColumn="0" w:lastColumn="0" w:oddVBand="0" w:evenVBand="0" w:oddHBand="1" w:evenHBand="0" w:firstRowFirstColumn="0" w:firstRowLastColumn="0" w:lastRowFirstColumn="0" w:lastRowLastColumn="0"/>
              <w:rPr>
                <w:rFonts w:cs="Arial"/>
                <w:sz w:val="20"/>
                <w:szCs w:val="18"/>
              </w:rPr>
            </w:pPr>
            <w:r>
              <w:rPr>
                <w:rFonts w:cs="Arial"/>
                <w:sz w:val="20"/>
                <w:szCs w:val="18"/>
              </w:rPr>
              <w:t xml:space="preserve">Waste management is a necessary component </w:t>
            </w:r>
            <w:r w:rsidR="007B15C5">
              <w:rPr>
                <w:rFonts w:cs="Arial"/>
                <w:sz w:val="20"/>
                <w:szCs w:val="18"/>
              </w:rPr>
              <w:t>supporting economic activities that generate waste. The applicant states that the regional workforce is sufficient to fill the demand created by the project.</w:t>
            </w:r>
          </w:p>
        </w:tc>
      </w:tr>
      <w:tr w:rsidR="002D2A5B" w14:paraId="55B18926" w14:textId="77777777" w:rsidTr="00C90288">
        <w:trPr>
          <w:cantSplit/>
        </w:trPr>
        <w:tc>
          <w:tcPr>
            <w:cnfStyle w:val="001000000000" w:firstRow="0" w:lastRow="0" w:firstColumn="1" w:lastColumn="0" w:oddVBand="0" w:evenVBand="0" w:oddHBand="0" w:evenHBand="0" w:firstRowFirstColumn="0" w:firstRowLastColumn="0" w:lastRowFirstColumn="0" w:lastRowLastColumn="0"/>
            <w:tcW w:w="2965" w:type="dxa"/>
          </w:tcPr>
          <w:p w14:paraId="45B1BD44" w14:textId="77777777" w:rsidR="002D2A5B" w:rsidRPr="00476332" w:rsidRDefault="002D2A5B" w:rsidP="00C90288">
            <w:pPr>
              <w:rPr>
                <w:rFonts w:cs="Arial"/>
                <w:sz w:val="20"/>
                <w:szCs w:val="18"/>
              </w:rPr>
            </w:pPr>
            <w:r w:rsidRPr="00476332">
              <w:rPr>
                <w:rFonts w:cs="Arial"/>
                <w:sz w:val="20"/>
                <w:szCs w:val="18"/>
              </w:rPr>
              <w:t>Elevate public health and equity</w:t>
            </w:r>
          </w:p>
        </w:tc>
        <w:tc>
          <w:tcPr>
            <w:tcW w:w="7825" w:type="dxa"/>
          </w:tcPr>
          <w:p w14:paraId="68B178D3" w14:textId="43FA2BA3" w:rsidR="000D3D5C" w:rsidRDefault="000D3D5C" w:rsidP="00E42AEA">
            <w:pPr>
              <w:cnfStyle w:val="000000000000" w:firstRow="0" w:lastRow="0" w:firstColumn="0" w:lastColumn="0" w:oddVBand="0" w:evenVBand="0" w:oddHBand="0" w:evenHBand="0" w:firstRowFirstColumn="0" w:firstRowLastColumn="0" w:lastRowFirstColumn="0" w:lastRowLastColumn="0"/>
              <w:rPr>
                <w:rFonts w:cs="Arial"/>
                <w:sz w:val="20"/>
                <w:szCs w:val="18"/>
              </w:rPr>
            </w:pPr>
            <w:r>
              <w:rPr>
                <w:rFonts w:cs="Arial"/>
                <w:sz w:val="20"/>
                <w:szCs w:val="18"/>
              </w:rPr>
              <w:t xml:space="preserve">The transfer station operator should continuously monitor </w:t>
            </w:r>
            <w:r w:rsidR="00054149">
              <w:rPr>
                <w:rFonts w:cs="Arial"/>
                <w:sz w:val="20"/>
                <w:szCs w:val="18"/>
              </w:rPr>
              <w:t xml:space="preserve">operations </w:t>
            </w:r>
            <w:r>
              <w:rPr>
                <w:rFonts w:cs="Arial"/>
                <w:sz w:val="20"/>
                <w:szCs w:val="18"/>
              </w:rPr>
              <w:t>to ensure that any potential negative impacts on the surrounding community are minimized.</w:t>
            </w:r>
          </w:p>
          <w:p w14:paraId="58174023" w14:textId="77777777" w:rsidR="000D3D5C" w:rsidRDefault="000D3D5C" w:rsidP="00E42AEA">
            <w:pPr>
              <w:cnfStyle w:val="000000000000" w:firstRow="0" w:lastRow="0" w:firstColumn="0" w:lastColumn="0" w:oddVBand="0" w:evenVBand="0" w:oddHBand="0" w:evenHBand="0" w:firstRowFirstColumn="0" w:firstRowLastColumn="0" w:lastRowFirstColumn="0" w:lastRowLastColumn="0"/>
              <w:rPr>
                <w:rFonts w:cs="Arial"/>
                <w:sz w:val="20"/>
                <w:szCs w:val="18"/>
              </w:rPr>
            </w:pPr>
          </w:p>
          <w:p w14:paraId="59095292" w14:textId="7C1D0D6F" w:rsidR="002D2A5B" w:rsidRPr="00CA3C7B" w:rsidRDefault="002C404A" w:rsidP="000D3D5C">
            <w:pPr>
              <w:cnfStyle w:val="000000000000" w:firstRow="0" w:lastRow="0" w:firstColumn="0" w:lastColumn="0" w:oddVBand="0" w:evenVBand="0" w:oddHBand="0" w:evenHBand="0" w:firstRowFirstColumn="0" w:firstRowLastColumn="0" w:lastRowFirstColumn="0" w:lastRowLastColumn="0"/>
              <w:rPr>
                <w:rFonts w:cs="Arial"/>
                <w:sz w:val="20"/>
                <w:szCs w:val="18"/>
              </w:rPr>
            </w:pPr>
            <w:r>
              <w:rPr>
                <w:rFonts w:cs="Arial"/>
                <w:sz w:val="20"/>
                <w:szCs w:val="18"/>
              </w:rPr>
              <w:t xml:space="preserve">The project site is surrounded by other industrial facilities and parcels zoned for industrial use, so there are no neighboring residential </w:t>
            </w:r>
            <w:r w:rsidR="00E25825">
              <w:rPr>
                <w:rFonts w:cs="Arial"/>
                <w:sz w:val="20"/>
                <w:szCs w:val="18"/>
              </w:rPr>
              <w:t xml:space="preserve">sites </w:t>
            </w:r>
            <w:r>
              <w:rPr>
                <w:rFonts w:cs="Arial"/>
                <w:sz w:val="20"/>
                <w:szCs w:val="18"/>
              </w:rPr>
              <w:t xml:space="preserve">or other </w:t>
            </w:r>
            <w:proofErr w:type="gramStart"/>
            <w:r>
              <w:rPr>
                <w:rFonts w:cs="Arial"/>
                <w:sz w:val="20"/>
                <w:szCs w:val="18"/>
              </w:rPr>
              <w:t>low</w:t>
            </w:r>
            <w:r w:rsidR="00E25825">
              <w:rPr>
                <w:rFonts w:cs="Arial"/>
                <w:sz w:val="20"/>
                <w:szCs w:val="18"/>
              </w:rPr>
              <w:t>er-</w:t>
            </w:r>
            <w:r>
              <w:rPr>
                <w:rFonts w:cs="Arial"/>
                <w:sz w:val="20"/>
                <w:szCs w:val="18"/>
              </w:rPr>
              <w:t>intensity</w:t>
            </w:r>
            <w:proofErr w:type="gramEnd"/>
            <w:r>
              <w:rPr>
                <w:rFonts w:cs="Arial"/>
                <w:sz w:val="20"/>
                <w:szCs w:val="18"/>
              </w:rPr>
              <w:t xml:space="preserve"> uses. It is also not located near any lakes, rivers, or streams</w:t>
            </w:r>
            <w:r w:rsidR="00E25825">
              <w:rPr>
                <w:rFonts w:cs="Arial"/>
                <w:sz w:val="20"/>
                <w:szCs w:val="18"/>
              </w:rPr>
              <w:t xml:space="preserve">, and the building would be equipped with an odor-neutralizing system. </w:t>
            </w:r>
            <w:r w:rsidR="000D3D5C">
              <w:rPr>
                <w:rFonts w:cs="Arial"/>
                <w:sz w:val="20"/>
                <w:szCs w:val="18"/>
              </w:rPr>
              <w:t>These factors reduce the potential for negative public health and equity impacts to the community.</w:t>
            </w:r>
          </w:p>
        </w:tc>
      </w:tr>
      <w:tr w:rsidR="002D2A5B" w14:paraId="597F037B" w14:textId="77777777" w:rsidTr="00C902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Pr>
          <w:p w14:paraId="16E7560B" w14:textId="77777777" w:rsidR="002D2A5B" w:rsidRPr="00476332" w:rsidRDefault="002D2A5B" w:rsidP="00C90288">
            <w:pPr>
              <w:rPr>
                <w:rFonts w:cs="Arial"/>
                <w:sz w:val="20"/>
                <w:szCs w:val="18"/>
              </w:rPr>
            </w:pPr>
            <w:r w:rsidRPr="00476332">
              <w:rPr>
                <w:rFonts w:cs="Arial"/>
                <w:sz w:val="20"/>
                <w:szCs w:val="18"/>
              </w:rPr>
              <w:t>Support and add value to existing communities</w:t>
            </w:r>
          </w:p>
        </w:tc>
        <w:tc>
          <w:tcPr>
            <w:tcW w:w="7825" w:type="dxa"/>
          </w:tcPr>
          <w:p w14:paraId="02A39B07" w14:textId="171E112B" w:rsidR="002D2A5B" w:rsidRPr="00CA3C7B" w:rsidRDefault="002C404A" w:rsidP="00C90288">
            <w:pPr>
              <w:cnfStyle w:val="000000100000" w:firstRow="0" w:lastRow="0" w:firstColumn="0" w:lastColumn="0" w:oddVBand="0" w:evenVBand="0" w:oddHBand="1" w:evenHBand="0" w:firstRowFirstColumn="0" w:firstRowLastColumn="0" w:lastRowFirstColumn="0" w:lastRowLastColumn="0"/>
              <w:rPr>
                <w:rFonts w:cs="Arial"/>
                <w:sz w:val="20"/>
                <w:szCs w:val="18"/>
              </w:rPr>
            </w:pPr>
            <w:r>
              <w:rPr>
                <w:rFonts w:cs="Arial"/>
                <w:sz w:val="20"/>
                <w:szCs w:val="18"/>
              </w:rPr>
              <w:t xml:space="preserve">By diverting recyclables from the landfill, </w:t>
            </w:r>
            <w:r w:rsidR="00E42AEA">
              <w:rPr>
                <w:rFonts w:cs="Arial"/>
                <w:sz w:val="20"/>
                <w:szCs w:val="18"/>
              </w:rPr>
              <w:t>waste sorting</w:t>
            </w:r>
            <w:r>
              <w:rPr>
                <w:rFonts w:cs="Arial"/>
                <w:sz w:val="20"/>
                <w:szCs w:val="18"/>
              </w:rPr>
              <w:t xml:space="preserve"> facilities can help extend the life of existing </w:t>
            </w:r>
            <w:r w:rsidR="00A10F6D">
              <w:rPr>
                <w:rFonts w:cs="Arial"/>
                <w:sz w:val="20"/>
                <w:szCs w:val="18"/>
              </w:rPr>
              <w:t>waste disposal infrastructure.</w:t>
            </w:r>
            <w:r w:rsidR="00FE7983">
              <w:rPr>
                <w:rFonts w:cs="Arial"/>
                <w:sz w:val="20"/>
                <w:szCs w:val="18"/>
              </w:rPr>
              <w:t xml:space="preserve"> </w:t>
            </w:r>
          </w:p>
        </w:tc>
      </w:tr>
      <w:tr w:rsidR="002D2A5B" w14:paraId="44F74B39" w14:textId="77777777" w:rsidTr="00C90288">
        <w:trPr>
          <w:cantSplit/>
        </w:trPr>
        <w:tc>
          <w:tcPr>
            <w:cnfStyle w:val="001000000000" w:firstRow="0" w:lastRow="0" w:firstColumn="1" w:lastColumn="0" w:oddVBand="0" w:evenVBand="0" w:oddHBand="0" w:evenHBand="0" w:firstRowFirstColumn="0" w:firstRowLastColumn="0" w:lastRowFirstColumn="0" w:lastRowLastColumn="0"/>
            <w:tcW w:w="2965" w:type="dxa"/>
          </w:tcPr>
          <w:p w14:paraId="78B55867" w14:textId="77777777" w:rsidR="002D2A5B" w:rsidRPr="00476332" w:rsidRDefault="002D2A5B" w:rsidP="00C90288">
            <w:pPr>
              <w:rPr>
                <w:rFonts w:cs="Arial"/>
                <w:sz w:val="20"/>
                <w:szCs w:val="18"/>
              </w:rPr>
            </w:pPr>
            <w:r w:rsidRPr="00476332">
              <w:rPr>
                <w:rFonts w:cs="Arial"/>
                <w:sz w:val="20"/>
                <w:szCs w:val="18"/>
              </w:rPr>
              <w:t>Create housing that is diverse, adequate, equitable, and affordable</w:t>
            </w:r>
          </w:p>
        </w:tc>
        <w:tc>
          <w:tcPr>
            <w:tcW w:w="7825" w:type="dxa"/>
          </w:tcPr>
          <w:p w14:paraId="6CEFC221" w14:textId="48E7D996" w:rsidR="002D2A5B" w:rsidRPr="00CA3C7B" w:rsidRDefault="00E25825" w:rsidP="00C90288">
            <w:pPr>
              <w:cnfStyle w:val="000000000000" w:firstRow="0" w:lastRow="0" w:firstColumn="0" w:lastColumn="0" w:oddVBand="0" w:evenVBand="0" w:oddHBand="0" w:evenHBand="0" w:firstRowFirstColumn="0" w:firstRowLastColumn="0" w:lastRowFirstColumn="0" w:lastRowLastColumn="0"/>
              <w:rPr>
                <w:rFonts w:cs="Arial"/>
                <w:sz w:val="20"/>
                <w:szCs w:val="18"/>
              </w:rPr>
            </w:pPr>
            <w:r>
              <w:rPr>
                <w:rFonts w:cs="Arial"/>
                <w:sz w:val="20"/>
                <w:szCs w:val="18"/>
              </w:rPr>
              <w:t>Not applicabl</w:t>
            </w:r>
            <w:r w:rsidR="001403EB">
              <w:rPr>
                <w:rFonts w:cs="Arial"/>
                <w:sz w:val="20"/>
                <w:szCs w:val="18"/>
              </w:rPr>
              <w:t xml:space="preserve">e </w:t>
            </w:r>
            <w:r w:rsidR="00A10F6D">
              <w:rPr>
                <w:rFonts w:cs="Arial"/>
                <w:sz w:val="20"/>
                <w:szCs w:val="18"/>
              </w:rPr>
              <w:t>for this project</w:t>
            </w:r>
            <w:r w:rsidR="00D00D3A">
              <w:rPr>
                <w:rFonts w:cs="Arial"/>
                <w:sz w:val="20"/>
                <w:szCs w:val="18"/>
              </w:rPr>
              <w:t xml:space="preserve"> type.</w:t>
            </w:r>
          </w:p>
        </w:tc>
      </w:tr>
      <w:tr w:rsidR="002D2A5B" w14:paraId="7B0AF2E6" w14:textId="77777777" w:rsidTr="00C902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Pr>
          <w:p w14:paraId="5E0D9E73" w14:textId="77777777" w:rsidR="002D2A5B" w:rsidRPr="00476332" w:rsidRDefault="002D2A5B" w:rsidP="00C90288">
            <w:pPr>
              <w:rPr>
                <w:rFonts w:cs="Arial"/>
                <w:sz w:val="20"/>
                <w:szCs w:val="18"/>
              </w:rPr>
            </w:pPr>
            <w:r w:rsidRPr="00476332">
              <w:rPr>
                <w:rFonts w:cs="Arial"/>
                <w:sz w:val="20"/>
                <w:szCs w:val="18"/>
              </w:rPr>
              <w:t>Include transportation choices and is well-connected with existing and planned transportation options</w:t>
            </w:r>
          </w:p>
        </w:tc>
        <w:tc>
          <w:tcPr>
            <w:tcW w:w="7825" w:type="dxa"/>
          </w:tcPr>
          <w:p w14:paraId="50557F8C" w14:textId="1AB3C3C6" w:rsidR="002D2A5B" w:rsidRPr="00CA3C7B" w:rsidRDefault="00E25825" w:rsidP="00C90288">
            <w:pPr>
              <w:cnfStyle w:val="000000100000" w:firstRow="0" w:lastRow="0" w:firstColumn="0" w:lastColumn="0" w:oddVBand="0" w:evenVBand="0" w:oddHBand="1" w:evenHBand="0" w:firstRowFirstColumn="0" w:firstRowLastColumn="0" w:lastRowFirstColumn="0" w:lastRowLastColumn="0"/>
              <w:rPr>
                <w:rFonts w:cs="Arial"/>
                <w:sz w:val="20"/>
                <w:szCs w:val="18"/>
              </w:rPr>
            </w:pPr>
            <w:r>
              <w:rPr>
                <w:rFonts w:cs="Arial"/>
                <w:sz w:val="20"/>
                <w:szCs w:val="18"/>
              </w:rPr>
              <w:t xml:space="preserve">Due to the nature of this project, heavy trucks hauling waste would make up most of the traffic in and out of this site. Because it is proposed to be built in an already-industrial area, it is likely that the road </w:t>
            </w:r>
            <w:r w:rsidR="005902DB">
              <w:rPr>
                <w:rFonts w:cs="Arial"/>
                <w:sz w:val="20"/>
                <w:szCs w:val="18"/>
              </w:rPr>
              <w:t>infrastructure</w:t>
            </w:r>
            <w:r>
              <w:rPr>
                <w:rFonts w:cs="Arial"/>
                <w:sz w:val="20"/>
                <w:szCs w:val="18"/>
              </w:rPr>
              <w:t xml:space="preserve"> in the immediate vicinity of the facility</w:t>
            </w:r>
            <w:r w:rsidR="00C2540D">
              <w:rPr>
                <w:rFonts w:cs="Arial"/>
                <w:sz w:val="20"/>
                <w:szCs w:val="18"/>
              </w:rPr>
              <w:t xml:space="preserve"> can </w:t>
            </w:r>
            <w:r>
              <w:rPr>
                <w:rFonts w:cs="Arial"/>
                <w:sz w:val="20"/>
                <w:szCs w:val="18"/>
              </w:rPr>
              <w:t xml:space="preserve">handle </w:t>
            </w:r>
            <w:r w:rsidR="00C2540D">
              <w:rPr>
                <w:rFonts w:cs="Arial"/>
                <w:sz w:val="20"/>
                <w:szCs w:val="18"/>
              </w:rPr>
              <w:t>heavy truck traffic</w:t>
            </w:r>
            <w:r w:rsidR="005902DB">
              <w:rPr>
                <w:rFonts w:cs="Arial"/>
                <w:sz w:val="20"/>
                <w:szCs w:val="18"/>
              </w:rPr>
              <w:t>.</w:t>
            </w:r>
            <w:r w:rsidR="00C2540D">
              <w:rPr>
                <w:rFonts w:cs="Arial"/>
                <w:sz w:val="20"/>
                <w:szCs w:val="18"/>
              </w:rPr>
              <w:t xml:space="preserve"> However, when considering this project, the County should also evaluate the planned transport routes from the proposed transfer station to landfill and recycling facilities to determine whether road infrastructure is adequate to handle the increased heavy truck traffic along the entire route.</w:t>
            </w:r>
          </w:p>
        </w:tc>
      </w:tr>
      <w:tr w:rsidR="002D2A5B" w14:paraId="08629CF0" w14:textId="77777777" w:rsidTr="00C90288">
        <w:trPr>
          <w:cantSplit/>
          <w:trHeight w:val="70"/>
        </w:trPr>
        <w:tc>
          <w:tcPr>
            <w:cnfStyle w:val="001000000000" w:firstRow="0" w:lastRow="0" w:firstColumn="1" w:lastColumn="0" w:oddVBand="0" w:evenVBand="0" w:oddHBand="0" w:evenHBand="0" w:firstRowFirstColumn="0" w:firstRowLastColumn="0" w:lastRowFirstColumn="0" w:lastRowLastColumn="0"/>
            <w:tcW w:w="2965" w:type="dxa"/>
          </w:tcPr>
          <w:p w14:paraId="6E1567F9" w14:textId="77777777" w:rsidR="002D2A5B" w:rsidRPr="00476332" w:rsidRDefault="002D2A5B" w:rsidP="00C90288">
            <w:pPr>
              <w:rPr>
                <w:rFonts w:cs="Arial"/>
                <w:sz w:val="20"/>
                <w:szCs w:val="18"/>
              </w:rPr>
            </w:pPr>
            <w:r w:rsidRPr="00476332">
              <w:rPr>
                <w:rFonts w:cs="Arial"/>
                <w:sz w:val="20"/>
                <w:szCs w:val="18"/>
              </w:rPr>
              <w:t>Protect natural and historic resources</w:t>
            </w:r>
          </w:p>
        </w:tc>
        <w:tc>
          <w:tcPr>
            <w:tcW w:w="7825" w:type="dxa"/>
          </w:tcPr>
          <w:p w14:paraId="4642B690" w14:textId="7138C36B" w:rsidR="000D3D5C" w:rsidRPr="00CA3C7B" w:rsidRDefault="000D3D5C" w:rsidP="000D3D5C">
            <w:pPr>
              <w:cnfStyle w:val="000000000000" w:firstRow="0" w:lastRow="0" w:firstColumn="0" w:lastColumn="0" w:oddVBand="0" w:evenVBand="0" w:oddHBand="0" w:evenHBand="0" w:firstRowFirstColumn="0" w:firstRowLastColumn="0" w:lastRowFirstColumn="0" w:lastRowLastColumn="0"/>
              <w:rPr>
                <w:rFonts w:cs="Arial"/>
                <w:sz w:val="20"/>
                <w:szCs w:val="18"/>
              </w:rPr>
            </w:pPr>
            <w:r>
              <w:rPr>
                <w:rFonts w:cs="Arial"/>
                <w:sz w:val="20"/>
                <w:szCs w:val="18"/>
              </w:rPr>
              <w:t>No information was included with the application about how the operator plans to address wastewater resulting from waste management operations, such as leakage from waste-hauling vehicles and water used to wash the facility and vehicles. Georgia EPD</w:t>
            </w:r>
            <w:r w:rsidR="00C2540D">
              <w:rPr>
                <w:rFonts w:cs="Arial"/>
                <w:sz w:val="20"/>
                <w:szCs w:val="18"/>
              </w:rPr>
              <w:t>’s</w:t>
            </w:r>
            <w:r>
              <w:rPr>
                <w:rFonts w:cs="Arial"/>
                <w:sz w:val="20"/>
                <w:szCs w:val="18"/>
              </w:rPr>
              <w:t xml:space="preserve"> </w:t>
            </w:r>
            <w:r w:rsidR="00C2540D">
              <w:rPr>
                <w:rFonts w:cs="Arial"/>
                <w:sz w:val="20"/>
                <w:szCs w:val="18"/>
              </w:rPr>
              <w:t>Transfer Station and Collection Guidance</w:t>
            </w:r>
            <w:r>
              <w:rPr>
                <w:rFonts w:cs="Arial"/>
                <w:sz w:val="20"/>
                <w:szCs w:val="18"/>
              </w:rPr>
              <w:t xml:space="preserve"> (2018) states that “</w:t>
            </w:r>
            <w:r w:rsidRPr="000D3D5C">
              <w:rPr>
                <w:rFonts w:cs="Arial"/>
                <w:sz w:val="20"/>
                <w:szCs w:val="18"/>
              </w:rPr>
              <w:t>All liquids generated from solid waste, floor cleaning, or vehicle washing operations at the transfer station facility are required to be collected and discharged to a permitted wastewater treatment system or a permitted on-site treatment system.</w:t>
            </w:r>
            <w:r>
              <w:rPr>
                <w:rFonts w:cs="Arial"/>
                <w:sz w:val="20"/>
                <w:szCs w:val="18"/>
              </w:rPr>
              <w:t>”</w:t>
            </w:r>
          </w:p>
        </w:tc>
      </w:tr>
    </w:tbl>
    <w:p w14:paraId="4A2B68DF" w14:textId="77777777" w:rsidR="002D2A5B" w:rsidRDefault="002D2A5B" w:rsidP="002D2A5B">
      <w:pPr>
        <w:rPr>
          <w:b/>
          <w:color w:val="2E74B5" w:themeColor="accent1" w:themeShade="BF"/>
        </w:rPr>
      </w:pPr>
    </w:p>
    <w:p w14:paraId="2E8826D1" w14:textId="3EFE76D7" w:rsidR="007E04A0" w:rsidRPr="001F5F55" w:rsidRDefault="004B2277" w:rsidP="00F15D40">
      <w:pPr>
        <w:rPr>
          <w:b/>
          <w:color w:val="2E74B5" w:themeColor="accent1" w:themeShade="BF"/>
        </w:rPr>
      </w:pPr>
      <w:r w:rsidRPr="001F5F55">
        <w:rPr>
          <w:b/>
          <w:color w:val="2E74B5" w:themeColor="accent1" w:themeShade="BF"/>
        </w:rPr>
        <w:t xml:space="preserve">Potential </w:t>
      </w:r>
      <w:r w:rsidR="007E04A0" w:rsidRPr="001F5F55">
        <w:rPr>
          <w:b/>
          <w:color w:val="2E74B5" w:themeColor="accent1" w:themeShade="BF"/>
        </w:rPr>
        <w:t>Interjurisdictional Impacts</w:t>
      </w:r>
    </w:p>
    <w:p w14:paraId="0290D248" w14:textId="24CBDD94" w:rsidR="00576717" w:rsidRPr="00576717" w:rsidRDefault="00576717" w:rsidP="007D2CF5">
      <w:pPr>
        <w:rPr>
          <w:u w:val="single"/>
        </w:rPr>
      </w:pPr>
      <w:r w:rsidRPr="00576717">
        <w:rPr>
          <w:u w:val="single"/>
        </w:rPr>
        <w:t>Natural Resources</w:t>
      </w:r>
    </w:p>
    <w:p w14:paraId="13F26F89" w14:textId="5FA3D4C4" w:rsidR="007D2CF5" w:rsidRDefault="007D2CF5" w:rsidP="007D2CF5">
      <w:r w:rsidRPr="007D2CF5">
        <w:t xml:space="preserve">The applicant states that the project is unlikely to affect any of the environmental quality factors identified on the DRI Additional Form, including water supply watersheds, groundwater recharge areas, wetlands, protected mountain and river corridors, floodplains, historic resources, and other environmentally sensitive resources. </w:t>
      </w:r>
    </w:p>
    <w:p w14:paraId="748AC5F8" w14:textId="77777777" w:rsidR="00576717" w:rsidRPr="007D2CF5" w:rsidRDefault="00576717" w:rsidP="007D2CF5"/>
    <w:p w14:paraId="2CF1FD03" w14:textId="3057D8A8" w:rsidR="007D2CF5" w:rsidRPr="007D2CF5" w:rsidRDefault="007D2CF5" w:rsidP="007D2CF5">
      <w:r w:rsidRPr="007D2CF5">
        <w:t xml:space="preserve">The </w:t>
      </w:r>
      <w:r w:rsidR="00576717">
        <w:t xml:space="preserve">table </w:t>
      </w:r>
      <w:r w:rsidR="00A10F6D">
        <w:t>on the next page</w:t>
      </w:r>
      <w:r w:rsidRPr="007D2CF5">
        <w:t xml:space="preserve"> summarizes the number of acres within the site area as well as within a one-mile buffer around the site that contains 1) wetlands, 2) conservation land, 3) regionally important resources, and 4) threatened regionally important resources. Please refer to the footnotes for definitions for each of these terms.</w:t>
      </w:r>
    </w:p>
    <w:p w14:paraId="5A842B70" w14:textId="77777777" w:rsidR="007D2CF5" w:rsidRPr="007D2CF5" w:rsidRDefault="007D2CF5" w:rsidP="007D2CF5">
      <w:pPr>
        <w:rPr>
          <w:sz w:val="20"/>
        </w:rPr>
      </w:pPr>
    </w:p>
    <w:p w14:paraId="0B1470CC" w14:textId="77777777" w:rsidR="00576717" w:rsidRDefault="00576717">
      <w:pPr>
        <w:rPr>
          <w:b/>
          <w:bCs/>
          <w:sz w:val="20"/>
        </w:rPr>
      </w:pPr>
      <w:r>
        <w:rPr>
          <w:b/>
          <w:bCs/>
          <w:sz w:val="20"/>
        </w:rPr>
        <w:br w:type="page"/>
      </w:r>
    </w:p>
    <w:p w14:paraId="1B834F3E" w14:textId="4D9292BE" w:rsidR="007D2CF5" w:rsidRPr="007D2CF5" w:rsidRDefault="007D2CF5" w:rsidP="007D2CF5">
      <w:pPr>
        <w:jc w:val="center"/>
        <w:rPr>
          <w:b/>
          <w:bCs/>
          <w:sz w:val="20"/>
        </w:rPr>
      </w:pPr>
      <w:r w:rsidRPr="007D2CF5">
        <w:rPr>
          <w:b/>
          <w:bCs/>
          <w:sz w:val="20"/>
        </w:rPr>
        <w:lastRenderedPageBreak/>
        <w:t>Wetland, Conservation, and Regionally Important Resources</w:t>
      </w:r>
    </w:p>
    <w:tbl>
      <w:tblPr>
        <w:tblStyle w:val="PlainTable1"/>
        <w:tblW w:w="8275" w:type="dxa"/>
        <w:jc w:val="center"/>
        <w:tblLayout w:type="fixed"/>
        <w:tblLook w:val="04A0" w:firstRow="1" w:lastRow="0" w:firstColumn="1" w:lastColumn="0" w:noHBand="0" w:noVBand="1"/>
      </w:tblPr>
      <w:tblGrid>
        <w:gridCol w:w="1345"/>
        <w:gridCol w:w="3600"/>
        <w:gridCol w:w="1530"/>
        <w:gridCol w:w="1800"/>
      </w:tblGrid>
      <w:tr w:rsidR="007D2CF5" w:rsidRPr="007D2CF5" w14:paraId="4BDA96DD" w14:textId="77777777" w:rsidTr="00C9028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345" w:type="dxa"/>
            <w:tcBorders>
              <w:bottom w:val="single" w:sz="12" w:space="0" w:color="auto"/>
            </w:tcBorders>
          </w:tcPr>
          <w:p w14:paraId="1783B20D" w14:textId="77777777" w:rsidR="007D2CF5" w:rsidRPr="007D2CF5" w:rsidRDefault="007D2CF5" w:rsidP="007D2CF5">
            <w:pPr>
              <w:rPr>
                <w:rFonts w:cs="Arial"/>
                <w:smallCaps/>
                <w:sz w:val="20"/>
                <w:szCs w:val="18"/>
              </w:rPr>
            </w:pPr>
          </w:p>
        </w:tc>
        <w:tc>
          <w:tcPr>
            <w:tcW w:w="3600" w:type="dxa"/>
            <w:tcBorders>
              <w:bottom w:val="single" w:sz="12" w:space="0" w:color="auto"/>
            </w:tcBorders>
          </w:tcPr>
          <w:p w14:paraId="32525CDD" w14:textId="77777777" w:rsidR="007D2CF5" w:rsidRPr="007D2CF5" w:rsidRDefault="007D2CF5" w:rsidP="007D2CF5">
            <w:pPr>
              <w:cnfStyle w:val="100000000000" w:firstRow="1" w:lastRow="0" w:firstColumn="0" w:lastColumn="0" w:oddVBand="0" w:evenVBand="0" w:oddHBand="0" w:evenHBand="0" w:firstRowFirstColumn="0" w:firstRowLastColumn="0" w:lastRowFirstColumn="0" w:lastRowLastColumn="0"/>
              <w:rPr>
                <w:rFonts w:cs="Arial"/>
                <w:smallCaps/>
                <w:sz w:val="20"/>
                <w:szCs w:val="18"/>
              </w:rPr>
            </w:pPr>
            <w:r w:rsidRPr="007D2CF5">
              <w:rPr>
                <w:rFonts w:cs="Arial"/>
                <w:smallCaps/>
                <w:sz w:val="20"/>
                <w:szCs w:val="18"/>
              </w:rPr>
              <w:t>Area Type</w:t>
            </w:r>
          </w:p>
        </w:tc>
        <w:tc>
          <w:tcPr>
            <w:tcW w:w="1530" w:type="dxa"/>
            <w:tcBorders>
              <w:bottom w:val="single" w:sz="12" w:space="0" w:color="auto"/>
            </w:tcBorders>
          </w:tcPr>
          <w:p w14:paraId="1CC15058" w14:textId="77777777" w:rsidR="007D2CF5" w:rsidRPr="007D2CF5" w:rsidRDefault="007D2CF5" w:rsidP="007D2CF5">
            <w:pPr>
              <w:cnfStyle w:val="100000000000" w:firstRow="1" w:lastRow="0" w:firstColumn="0" w:lastColumn="0" w:oddVBand="0" w:evenVBand="0" w:oddHBand="0" w:evenHBand="0" w:firstRowFirstColumn="0" w:firstRowLastColumn="0" w:lastRowFirstColumn="0" w:lastRowLastColumn="0"/>
              <w:rPr>
                <w:rFonts w:cs="Arial"/>
                <w:smallCaps/>
                <w:sz w:val="20"/>
                <w:szCs w:val="18"/>
              </w:rPr>
            </w:pPr>
            <w:r w:rsidRPr="007D2CF5">
              <w:rPr>
                <w:rFonts w:cs="Arial"/>
                <w:smallCaps/>
                <w:sz w:val="20"/>
                <w:szCs w:val="18"/>
              </w:rPr>
              <w:t>Area (Acres)</w:t>
            </w:r>
          </w:p>
        </w:tc>
        <w:tc>
          <w:tcPr>
            <w:tcW w:w="1800" w:type="dxa"/>
            <w:tcBorders>
              <w:bottom w:val="single" w:sz="12" w:space="0" w:color="auto"/>
            </w:tcBorders>
          </w:tcPr>
          <w:p w14:paraId="3F341370" w14:textId="77777777" w:rsidR="007D2CF5" w:rsidRPr="007D2CF5" w:rsidRDefault="007D2CF5" w:rsidP="007D2CF5">
            <w:pPr>
              <w:cnfStyle w:val="100000000000" w:firstRow="1" w:lastRow="0" w:firstColumn="0" w:lastColumn="0" w:oddVBand="0" w:evenVBand="0" w:oddHBand="0" w:evenHBand="0" w:firstRowFirstColumn="0" w:firstRowLastColumn="0" w:lastRowFirstColumn="0" w:lastRowLastColumn="0"/>
              <w:rPr>
                <w:rFonts w:cs="Arial"/>
                <w:smallCaps/>
                <w:sz w:val="20"/>
                <w:szCs w:val="18"/>
              </w:rPr>
            </w:pPr>
            <w:r w:rsidRPr="007D2CF5">
              <w:rPr>
                <w:rFonts w:cs="Arial"/>
                <w:smallCaps/>
                <w:sz w:val="20"/>
                <w:szCs w:val="18"/>
              </w:rPr>
              <w:t>Percent of Area</w:t>
            </w:r>
          </w:p>
        </w:tc>
      </w:tr>
      <w:tr w:rsidR="007D2CF5" w:rsidRPr="007D2CF5" w14:paraId="3F78C1EC" w14:textId="77777777" w:rsidTr="00C902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12" w:space="0" w:color="auto"/>
            </w:tcBorders>
          </w:tcPr>
          <w:p w14:paraId="1BDA7AB3" w14:textId="77777777" w:rsidR="007D2CF5" w:rsidRPr="007D2CF5" w:rsidRDefault="007D2CF5" w:rsidP="007D2CF5">
            <w:pPr>
              <w:rPr>
                <w:rFonts w:cs="Arial"/>
                <w:sz w:val="20"/>
                <w:szCs w:val="18"/>
              </w:rPr>
            </w:pPr>
            <w:r w:rsidRPr="007D2CF5">
              <w:rPr>
                <w:rFonts w:cs="Arial"/>
                <w:sz w:val="20"/>
                <w:szCs w:val="18"/>
              </w:rPr>
              <w:t>SITE AREA</w:t>
            </w:r>
          </w:p>
          <w:p w14:paraId="27A1D369" w14:textId="77777777" w:rsidR="007D2CF5" w:rsidRPr="007D2CF5" w:rsidRDefault="007D2CF5" w:rsidP="007D2CF5">
            <w:pPr>
              <w:rPr>
                <w:rFonts w:cs="Arial"/>
                <w:sz w:val="20"/>
                <w:szCs w:val="18"/>
              </w:rPr>
            </w:pPr>
            <w:r w:rsidRPr="007D2CF5">
              <w:rPr>
                <w:rFonts w:cs="Arial"/>
                <w:sz w:val="20"/>
                <w:szCs w:val="18"/>
              </w:rPr>
              <w:t>(10 acres)</w:t>
            </w:r>
          </w:p>
        </w:tc>
        <w:tc>
          <w:tcPr>
            <w:tcW w:w="3600" w:type="dxa"/>
            <w:tcBorders>
              <w:top w:val="single" w:sz="12" w:space="0" w:color="auto"/>
            </w:tcBorders>
          </w:tcPr>
          <w:p w14:paraId="06382755"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Wetland Acres</w:t>
            </w:r>
            <w:r w:rsidRPr="007D2CF5">
              <w:rPr>
                <w:rFonts w:cs="Arial"/>
                <w:sz w:val="20"/>
                <w:szCs w:val="18"/>
                <w:vertAlign w:val="superscript"/>
              </w:rPr>
              <w:footnoteReference w:id="1"/>
            </w:r>
          </w:p>
        </w:tc>
        <w:tc>
          <w:tcPr>
            <w:tcW w:w="1530" w:type="dxa"/>
            <w:tcBorders>
              <w:top w:val="single" w:sz="12" w:space="0" w:color="auto"/>
            </w:tcBorders>
          </w:tcPr>
          <w:p w14:paraId="3349A698"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0</w:t>
            </w:r>
          </w:p>
        </w:tc>
        <w:tc>
          <w:tcPr>
            <w:tcW w:w="1800" w:type="dxa"/>
            <w:tcBorders>
              <w:top w:val="single" w:sz="12" w:space="0" w:color="auto"/>
            </w:tcBorders>
          </w:tcPr>
          <w:p w14:paraId="2B88F055"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0</w:t>
            </w:r>
          </w:p>
        </w:tc>
      </w:tr>
      <w:tr w:rsidR="007D2CF5" w:rsidRPr="007D2CF5" w14:paraId="019A5357" w14:textId="77777777" w:rsidTr="00C90288">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16B45ACC" w14:textId="77777777" w:rsidR="007D2CF5" w:rsidRPr="007D2CF5" w:rsidRDefault="007D2CF5" w:rsidP="007D2CF5">
            <w:pPr>
              <w:rPr>
                <w:rFonts w:cs="Arial"/>
                <w:sz w:val="20"/>
                <w:szCs w:val="18"/>
              </w:rPr>
            </w:pPr>
          </w:p>
        </w:tc>
        <w:tc>
          <w:tcPr>
            <w:tcW w:w="3600" w:type="dxa"/>
          </w:tcPr>
          <w:p w14:paraId="200BF258"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“Conservation Land”</w:t>
            </w:r>
            <w:r w:rsidRPr="007D2CF5">
              <w:rPr>
                <w:rFonts w:cs="Arial"/>
                <w:sz w:val="20"/>
                <w:szCs w:val="18"/>
                <w:vertAlign w:val="superscript"/>
              </w:rPr>
              <w:t xml:space="preserve"> </w:t>
            </w:r>
            <w:r w:rsidRPr="007D2CF5">
              <w:rPr>
                <w:rFonts w:cs="Arial"/>
                <w:sz w:val="20"/>
                <w:szCs w:val="18"/>
                <w:vertAlign w:val="superscript"/>
              </w:rPr>
              <w:footnoteReference w:id="2"/>
            </w:r>
          </w:p>
        </w:tc>
        <w:tc>
          <w:tcPr>
            <w:tcW w:w="1530" w:type="dxa"/>
          </w:tcPr>
          <w:p w14:paraId="055CD039"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2</w:t>
            </w:r>
          </w:p>
        </w:tc>
        <w:tc>
          <w:tcPr>
            <w:tcW w:w="1800" w:type="dxa"/>
          </w:tcPr>
          <w:p w14:paraId="54ACBB4D"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20</w:t>
            </w:r>
          </w:p>
        </w:tc>
      </w:tr>
      <w:tr w:rsidR="007D2CF5" w:rsidRPr="007D2CF5" w14:paraId="61712210" w14:textId="77777777" w:rsidTr="00C902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187BE655" w14:textId="77777777" w:rsidR="007D2CF5" w:rsidRPr="007D2CF5" w:rsidRDefault="007D2CF5" w:rsidP="007D2CF5">
            <w:pPr>
              <w:rPr>
                <w:rFonts w:cs="Arial"/>
                <w:sz w:val="20"/>
                <w:szCs w:val="18"/>
              </w:rPr>
            </w:pPr>
          </w:p>
        </w:tc>
        <w:tc>
          <w:tcPr>
            <w:tcW w:w="3600" w:type="dxa"/>
          </w:tcPr>
          <w:p w14:paraId="6440076C"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Regionally Important Resource Land</w:t>
            </w:r>
            <w:r w:rsidRPr="007D2CF5">
              <w:rPr>
                <w:rFonts w:cs="Arial"/>
                <w:sz w:val="20"/>
                <w:szCs w:val="18"/>
                <w:vertAlign w:val="superscript"/>
              </w:rPr>
              <w:footnoteReference w:id="3"/>
            </w:r>
          </w:p>
        </w:tc>
        <w:tc>
          <w:tcPr>
            <w:tcW w:w="1530" w:type="dxa"/>
          </w:tcPr>
          <w:p w14:paraId="07699696"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10</w:t>
            </w:r>
          </w:p>
        </w:tc>
        <w:tc>
          <w:tcPr>
            <w:tcW w:w="1800" w:type="dxa"/>
          </w:tcPr>
          <w:p w14:paraId="78C2BA47"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100</w:t>
            </w:r>
          </w:p>
        </w:tc>
      </w:tr>
      <w:tr w:rsidR="007D2CF5" w:rsidRPr="007D2CF5" w14:paraId="75838855" w14:textId="77777777" w:rsidTr="00C90288">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4C34ABC9" w14:textId="77777777" w:rsidR="007D2CF5" w:rsidRPr="007D2CF5" w:rsidRDefault="007D2CF5" w:rsidP="007D2CF5">
            <w:pPr>
              <w:rPr>
                <w:rFonts w:cs="Arial"/>
                <w:sz w:val="20"/>
                <w:szCs w:val="18"/>
              </w:rPr>
            </w:pPr>
          </w:p>
        </w:tc>
        <w:tc>
          <w:tcPr>
            <w:tcW w:w="3600" w:type="dxa"/>
          </w:tcPr>
          <w:p w14:paraId="1BAF0E0C"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Threatened Regionally Important Resource Land</w:t>
            </w:r>
            <w:r w:rsidRPr="007D2CF5">
              <w:rPr>
                <w:rFonts w:cs="Arial"/>
                <w:sz w:val="20"/>
                <w:szCs w:val="18"/>
                <w:vertAlign w:val="superscript"/>
              </w:rPr>
              <w:footnoteReference w:id="4"/>
            </w:r>
          </w:p>
        </w:tc>
        <w:tc>
          <w:tcPr>
            <w:tcW w:w="1530" w:type="dxa"/>
          </w:tcPr>
          <w:p w14:paraId="25BA958A"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2</w:t>
            </w:r>
          </w:p>
        </w:tc>
        <w:tc>
          <w:tcPr>
            <w:tcW w:w="1800" w:type="dxa"/>
          </w:tcPr>
          <w:p w14:paraId="020784EF"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20</w:t>
            </w:r>
          </w:p>
        </w:tc>
      </w:tr>
      <w:tr w:rsidR="007D2CF5" w:rsidRPr="007D2CF5" w14:paraId="30451679" w14:textId="77777777" w:rsidTr="00C902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tcBorders>
          </w:tcPr>
          <w:p w14:paraId="521217F8" w14:textId="77777777" w:rsidR="007D2CF5" w:rsidRPr="007D2CF5" w:rsidRDefault="007D2CF5" w:rsidP="007D2CF5">
            <w:pPr>
              <w:rPr>
                <w:rFonts w:cs="Arial"/>
                <w:sz w:val="20"/>
                <w:szCs w:val="18"/>
              </w:rPr>
            </w:pPr>
            <w:r w:rsidRPr="007D2CF5">
              <w:rPr>
                <w:rFonts w:cs="Arial"/>
                <w:sz w:val="20"/>
                <w:szCs w:val="18"/>
              </w:rPr>
              <w:t>1 MILE BUFFER AROUND SITE</w:t>
            </w:r>
          </w:p>
          <w:p w14:paraId="1B2E7603" w14:textId="77777777" w:rsidR="007D2CF5" w:rsidRPr="007D2CF5" w:rsidRDefault="007D2CF5" w:rsidP="007D2CF5">
            <w:pPr>
              <w:rPr>
                <w:rFonts w:cs="Arial"/>
                <w:sz w:val="20"/>
                <w:szCs w:val="18"/>
              </w:rPr>
            </w:pPr>
            <w:r w:rsidRPr="007D2CF5">
              <w:rPr>
                <w:rFonts w:cs="Arial"/>
                <w:sz w:val="20"/>
                <w:szCs w:val="18"/>
              </w:rPr>
              <w:t>(2,353 acres)</w:t>
            </w:r>
          </w:p>
        </w:tc>
        <w:tc>
          <w:tcPr>
            <w:tcW w:w="3600" w:type="dxa"/>
            <w:tcBorders>
              <w:top w:val="single" w:sz="4" w:space="0" w:color="auto"/>
            </w:tcBorders>
          </w:tcPr>
          <w:p w14:paraId="607220A9"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Wetland Acres</w:t>
            </w:r>
          </w:p>
        </w:tc>
        <w:tc>
          <w:tcPr>
            <w:tcW w:w="1530" w:type="dxa"/>
            <w:tcBorders>
              <w:top w:val="single" w:sz="4" w:space="0" w:color="auto"/>
            </w:tcBorders>
          </w:tcPr>
          <w:p w14:paraId="155BEFDA"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60</w:t>
            </w:r>
          </w:p>
        </w:tc>
        <w:tc>
          <w:tcPr>
            <w:tcW w:w="1800" w:type="dxa"/>
            <w:tcBorders>
              <w:top w:val="single" w:sz="4" w:space="0" w:color="auto"/>
            </w:tcBorders>
          </w:tcPr>
          <w:p w14:paraId="030D4CB9"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3</w:t>
            </w:r>
          </w:p>
        </w:tc>
      </w:tr>
      <w:tr w:rsidR="007D2CF5" w:rsidRPr="007D2CF5" w14:paraId="139BC834" w14:textId="77777777" w:rsidTr="00C90288">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657BDB73" w14:textId="77777777" w:rsidR="007D2CF5" w:rsidRPr="007D2CF5" w:rsidRDefault="007D2CF5" w:rsidP="007D2CF5">
            <w:pPr>
              <w:rPr>
                <w:rFonts w:cs="Arial"/>
                <w:sz w:val="20"/>
                <w:szCs w:val="18"/>
              </w:rPr>
            </w:pPr>
          </w:p>
        </w:tc>
        <w:tc>
          <w:tcPr>
            <w:tcW w:w="3600" w:type="dxa"/>
          </w:tcPr>
          <w:p w14:paraId="5B9EC429"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“Conservation Land”</w:t>
            </w:r>
          </w:p>
        </w:tc>
        <w:tc>
          <w:tcPr>
            <w:tcW w:w="1530" w:type="dxa"/>
          </w:tcPr>
          <w:p w14:paraId="74D83C9F"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716</w:t>
            </w:r>
          </w:p>
        </w:tc>
        <w:tc>
          <w:tcPr>
            <w:tcW w:w="1800" w:type="dxa"/>
          </w:tcPr>
          <w:p w14:paraId="269A96E6"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30</w:t>
            </w:r>
          </w:p>
        </w:tc>
      </w:tr>
      <w:tr w:rsidR="007D2CF5" w:rsidRPr="007D2CF5" w14:paraId="66360A7D" w14:textId="77777777" w:rsidTr="00C902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5A5C33C7" w14:textId="77777777" w:rsidR="007D2CF5" w:rsidRPr="007D2CF5" w:rsidRDefault="007D2CF5" w:rsidP="007D2CF5">
            <w:pPr>
              <w:rPr>
                <w:rFonts w:cs="Arial"/>
                <w:sz w:val="20"/>
                <w:szCs w:val="18"/>
              </w:rPr>
            </w:pPr>
          </w:p>
        </w:tc>
        <w:tc>
          <w:tcPr>
            <w:tcW w:w="3600" w:type="dxa"/>
          </w:tcPr>
          <w:p w14:paraId="1E3B3EAC"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Regionally Important Resource Land</w:t>
            </w:r>
          </w:p>
        </w:tc>
        <w:tc>
          <w:tcPr>
            <w:tcW w:w="1530" w:type="dxa"/>
          </w:tcPr>
          <w:p w14:paraId="61E01D1B"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2,281</w:t>
            </w:r>
          </w:p>
        </w:tc>
        <w:tc>
          <w:tcPr>
            <w:tcW w:w="1800" w:type="dxa"/>
          </w:tcPr>
          <w:p w14:paraId="6DC97FBB" w14:textId="77777777" w:rsidR="007D2CF5" w:rsidRPr="007D2CF5" w:rsidRDefault="007D2CF5" w:rsidP="007D2CF5">
            <w:pPr>
              <w:cnfStyle w:val="000000100000" w:firstRow="0" w:lastRow="0" w:firstColumn="0" w:lastColumn="0" w:oddVBand="0" w:evenVBand="0" w:oddHBand="1" w:evenHBand="0" w:firstRowFirstColumn="0" w:firstRowLastColumn="0" w:lastRowFirstColumn="0" w:lastRowLastColumn="0"/>
              <w:rPr>
                <w:rFonts w:cs="Arial"/>
                <w:sz w:val="20"/>
                <w:szCs w:val="18"/>
              </w:rPr>
            </w:pPr>
            <w:r w:rsidRPr="007D2CF5">
              <w:rPr>
                <w:rFonts w:cs="Arial"/>
                <w:sz w:val="20"/>
                <w:szCs w:val="18"/>
              </w:rPr>
              <w:t>97</w:t>
            </w:r>
          </w:p>
        </w:tc>
      </w:tr>
      <w:tr w:rsidR="007D2CF5" w:rsidRPr="007D2CF5" w14:paraId="7E608868" w14:textId="77777777" w:rsidTr="00C90288">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423D4A6E" w14:textId="77777777" w:rsidR="007D2CF5" w:rsidRPr="007D2CF5" w:rsidRDefault="007D2CF5" w:rsidP="007D2CF5">
            <w:pPr>
              <w:rPr>
                <w:rFonts w:cs="Arial"/>
                <w:sz w:val="20"/>
                <w:szCs w:val="18"/>
              </w:rPr>
            </w:pPr>
          </w:p>
        </w:tc>
        <w:tc>
          <w:tcPr>
            <w:tcW w:w="3600" w:type="dxa"/>
          </w:tcPr>
          <w:p w14:paraId="445D42D1"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Threatened Regionally Important Resource Land</w:t>
            </w:r>
          </w:p>
        </w:tc>
        <w:tc>
          <w:tcPr>
            <w:tcW w:w="1530" w:type="dxa"/>
          </w:tcPr>
          <w:p w14:paraId="48D91222"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715</w:t>
            </w:r>
          </w:p>
        </w:tc>
        <w:tc>
          <w:tcPr>
            <w:tcW w:w="1800" w:type="dxa"/>
          </w:tcPr>
          <w:p w14:paraId="4A9983C2" w14:textId="77777777" w:rsidR="007D2CF5" w:rsidRPr="007D2CF5" w:rsidRDefault="007D2CF5" w:rsidP="007D2CF5">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7D2CF5">
              <w:rPr>
                <w:rFonts w:cs="Arial"/>
                <w:sz w:val="20"/>
                <w:szCs w:val="18"/>
              </w:rPr>
              <w:t>30</w:t>
            </w:r>
          </w:p>
        </w:tc>
      </w:tr>
    </w:tbl>
    <w:p w14:paraId="585E034D" w14:textId="77777777" w:rsidR="007D2CF5" w:rsidRPr="007D2CF5" w:rsidRDefault="007D2CF5" w:rsidP="007D2CF5">
      <w:pPr>
        <w:rPr>
          <w:sz w:val="20"/>
        </w:rPr>
      </w:pPr>
    </w:p>
    <w:p w14:paraId="29B19530" w14:textId="77777777" w:rsidR="007D2CF5" w:rsidRDefault="007D2CF5" w:rsidP="007D2CF5">
      <w:r w:rsidRPr="007D2CF5">
        <w:t xml:space="preserve">A portion of the Regionally Important Resource Land is part of the Northeast Georgia Green Infrastructure Network as identified in the Northeast Georgia Resource Management Plan for Regionally Important Resources (dated 8/7/2018). The Northeast Georgia Green Infrastructure Network is intended to serve as a strategically planned and managed network of wilderness, parks, greenways, conservation easements, and working lands with conservation value that benefits wildlife and people, supports native species, maintains natural ecological processes, sustains air and water resources, links urban settings to rural ones, and contributes to the health and quality of life for the communities and citizens sharing this network. No specific Regionally Important Resource sites are identified within one mile of the proposed site. </w:t>
      </w:r>
    </w:p>
    <w:p w14:paraId="58797FC9" w14:textId="77777777" w:rsidR="00576717" w:rsidRDefault="00576717" w:rsidP="007D2CF5"/>
    <w:p w14:paraId="3C893D14" w14:textId="77777777" w:rsidR="007D2CF5" w:rsidRPr="007D2CF5" w:rsidRDefault="007D2CF5" w:rsidP="007D2CF5">
      <w:pPr>
        <w:keepNext/>
        <w:outlineLvl w:val="2"/>
        <w:rPr>
          <w:szCs w:val="28"/>
          <w:u w:val="single"/>
        </w:rPr>
      </w:pPr>
      <w:r w:rsidRPr="007D2CF5">
        <w:rPr>
          <w:szCs w:val="28"/>
          <w:u w:val="single"/>
        </w:rPr>
        <w:t>Water Supply and Wastewater</w:t>
      </w:r>
    </w:p>
    <w:p w14:paraId="77F8F524" w14:textId="5C39138C" w:rsidR="007D2CF5" w:rsidRDefault="007D2CF5" w:rsidP="007D2CF5">
      <w:pPr>
        <w:rPr>
          <w:szCs w:val="28"/>
        </w:rPr>
      </w:pPr>
      <w:r w:rsidRPr="007D2CF5">
        <w:rPr>
          <w:szCs w:val="28"/>
        </w:rPr>
        <w:t xml:space="preserve">The project would be served by the City of Monroe water system, with a daily estimated water demand of 0.0025 MGD. The applicant states that these demands can be covered by existing capacity and that no water line extension is needed. The project would produce an estimated 0.0004 MGD of sewage, which would be handled by an onsite septic system. </w:t>
      </w:r>
    </w:p>
    <w:p w14:paraId="7B3FB941" w14:textId="77777777" w:rsidR="00576717" w:rsidRDefault="00576717" w:rsidP="007D2CF5">
      <w:pPr>
        <w:rPr>
          <w:szCs w:val="28"/>
        </w:rPr>
      </w:pPr>
    </w:p>
    <w:p w14:paraId="778139A7" w14:textId="77777777" w:rsidR="00576717" w:rsidRPr="00576717" w:rsidRDefault="00576717" w:rsidP="00576717">
      <w:pPr>
        <w:rPr>
          <w:rFonts w:cs="Arial"/>
          <w:bCs/>
          <w:szCs w:val="22"/>
          <w:u w:val="single"/>
        </w:rPr>
      </w:pPr>
      <w:r w:rsidRPr="00576717">
        <w:rPr>
          <w:rFonts w:cs="Arial"/>
          <w:bCs/>
          <w:szCs w:val="22"/>
          <w:u w:val="single"/>
        </w:rPr>
        <w:t>Stormwater</w:t>
      </w:r>
    </w:p>
    <w:p w14:paraId="62AA170F" w14:textId="4321E0BC" w:rsidR="00576717" w:rsidRDefault="00576717" w:rsidP="00576717">
      <w:pPr>
        <w:rPr>
          <w:rFonts w:cs="Arial"/>
          <w:szCs w:val="20"/>
        </w:rPr>
      </w:pPr>
      <w:r w:rsidRPr="007D2CF5">
        <w:rPr>
          <w:rFonts w:cs="Arial"/>
          <w:bCs/>
          <w:szCs w:val="22"/>
        </w:rPr>
        <w:t xml:space="preserve">An estimated 64% of the site would be covered in impervious surfaces, and one stormwater management pond is planned to manage stormwater runoff. </w:t>
      </w:r>
      <w:r>
        <w:rPr>
          <w:rFonts w:cs="Arial"/>
          <w:szCs w:val="20"/>
        </w:rPr>
        <w:t>The proposal should be designed to minimize disruption to the existing streams, associated wetlands, and floodplains to avoid future erosion, flooding, and degraded water quality onsite and downstream from the site. Low impact design measures, like bioswales, rain gardens, and other green infrastructure should be incorporated into the project design. At minimum, the project should be in accordance with the latest edition of the Georgia Stormwater Management Manual (Blue Book) and meet all relevant EPD requirements.</w:t>
      </w:r>
    </w:p>
    <w:p w14:paraId="4E74647C" w14:textId="77777777" w:rsidR="00576717" w:rsidRDefault="00576717" w:rsidP="00576717">
      <w:pPr>
        <w:rPr>
          <w:rFonts w:cs="Arial"/>
          <w:szCs w:val="20"/>
        </w:rPr>
      </w:pPr>
    </w:p>
    <w:p w14:paraId="3DA9FAB7" w14:textId="77777777" w:rsidR="00576717" w:rsidRPr="007D2CF5" w:rsidRDefault="00576717" w:rsidP="00576717">
      <w:pPr>
        <w:keepNext/>
        <w:outlineLvl w:val="2"/>
        <w:rPr>
          <w:sz w:val="20"/>
          <w:u w:val="single"/>
        </w:rPr>
      </w:pPr>
      <w:r w:rsidRPr="007D2CF5">
        <w:rPr>
          <w:szCs w:val="28"/>
          <w:u w:val="single"/>
        </w:rPr>
        <w:t>Transportation</w:t>
      </w:r>
    </w:p>
    <w:p w14:paraId="3D041852" w14:textId="77777777" w:rsidR="00576717" w:rsidRPr="007D2CF5" w:rsidRDefault="00576717" w:rsidP="00576717">
      <w:r w:rsidRPr="007D2CF5">
        <w:t>No traffic study has been completed for this project. The applicant projects that the proposed development will result in approximately four new truck trips per hour. The applicant states that no transportation improvements are needed to serve this project</w:t>
      </w:r>
      <w:r>
        <w:t>.</w:t>
      </w:r>
    </w:p>
    <w:p w14:paraId="6125D376" w14:textId="77777777" w:rsidR="00576717" w:rsidRPr="007D2CF5" w:rsidRDefault="00576717" w:rsidP="00576717">
      <w:pPr>
        <w:rPr>
          <w:sz w:val="20"/>
        </w:rPr>
      </w:pPr>
    </w:p>
    <w:p w14:paraId="2A7F0967" w14:textId="77777777" w:rsidR="007D2CF5" w:rsidRPr="007D2CF5" w:rsidRDefault="007D2CF5" w:rsidP="007D2CF5">
      <w:pPr>
        <w:keepNext/>
        <w:outlineLvl w:val="2"/>
        <w:rPr>
          <w:szCs w:val="28"/>
          <w:u w:val="single"/>
        </w:rPr>
      </w:pPr>
      <w:r w:rsidRPr="007D2CF5">
        <w:rPr>
          <w:szCs w:val="28"/>
          <w:u w:val="single"/>
        </w:rPr>
        <w:t>Solid Waste</w:t>
      </w:r>
    </w:p>
    <w:p w14:paraId="66987FB8" w14:textId="77777777" w:rsidR="007D2CF5" w:rsidRPr="007D2CF5" w:rsidRDefault="007D2CF5" w:rsidP="007D2CF5">
      <w:pPr>
        <w:rPr>
          <w:szCs w:val="28"/>
        </w:rPr>
      </w:pPr>
      <w:r w:rsidRPr="007D2CF5">
        <w:rPr>
          <w:szCs w:val="28"/>
        </w:rPr>
        <w:t>The applicant estimates the project would generate 40,000 tons of solid waste annually and that sufficient landfill capacity exists to handle this waste. According to annual tonnage reports from the Georgia Environmental Protection Division, almost all municipal solid waste (MSW) generated in Walton County is disposed of in a landfill in Barrow County. The applicant states that no hazardous waste would be generated.</w:t>
      </w:r>
    </w:p>
    <w:p w14:paraId="35F3E31B" w14:textId="77777777" w:rsidR="002F0B35" w:rsidRDefault="002F0B35" w:rsidP="00F15D40">
      <w:pPr>
        <w:rPr>
          <w:b/>
          <w:color w:val="2E74B5" w:themeColor="accent1" w:themeShade="BF"/>
        </w:rPr>
      </w:pPr>
    </w:p>
    <w:p w14:paraId="3E8DB848" w14:textId="355BA5C7" w:rsidR="00576717" w:rsidRPr="007D2CF5" w:rsidRDefault="00576717" w:rsidP="00576717">
      <w:pPr>
        <w:keepNext/>
        <w:outlineLvl w:val="2"/>
        <w:rPr>
          <w:szCs w:val="28"/>
          <w:u w:val="single"/>
        </w:rPr>
      </w:pPr>
      <w:r>
        <w:rPr>
          <w:szCs w:val="28"/>
          <w:u w:val="single"/>
        </w:rPr>
        <w:t>Lifecycle Costs and Revenues</w:t>
      </w:r>
    </w:p>
    <w:p w14:paraId="685C50CF" w14:textId="2C0CD878" w:rsidR="002F0B35" w:rsidRPr="00010866" w:rsidRDefault="002F0B35" w:rsidP="002F0B35">
      <w:r>
        <w:t xml:space="preserve">The applicant estimates that the project would be worth </w:t>
      </w:r>
      <w:r w:rsidRPr="00A10F6D">
        <w:t>$</w:t>
      </w:r>
      <w:r w:rsidR="00A10F6D" w:rsidRPr="00A10F6D">
        <w:t>3 Million</w:t>
      </w:r>
      <w:r w:rsidRPr="00A10F6D">
        <w:t xml:space="preserve"> at build-out in 20</w:t>
      </w:r>
      <w:r w:rsidR="00A10F6D" w:rsidRPr="00A10F6D">
        <w:t xml:space="preserve">24 </w:t>
      </w:r>
      <w:r w:rsidRPr="00A10F6D">
        <w:t>and generate $</w:t>
      </w:r>
      <w:r w:rsidR="00A10F6D" w:rsidRPr="00A10F6D">
        <w:t>35,000</w:t>
      </w:r>
      <w:r w:rsidRPr="00A10F6D">
        <w:t xml:space="preserve"> in annual local taxes. On a per-acre basis, the project would be worth approximately $</w:t>
      </w:r>
      <w:r w:rsidR="00A10F6D" w:rsidRPr="00A10F6D">
        <w:t>300,000</w:t>
      </w:r>
      <w:r w:rsidRPr="00A10F6D">
        <w:t xml:space="preserve"> and generate approximately $</w:t>
      </w:r>
      <w:r w:rsidR="00A10F6D" w:rsidRPr="00A10F6D">
        <w:t>3,500</w:t>
      </w:r>
      <w:r w:rsidRPr="00A10F6D">
        <w:t xml:space="preserve"> in tax revenue. Prior to approval, the County</w:t>
      </w:r>
      <w:r>
        <w:t xml:space="preserve"> should measure the life cycle costs of the infrastructure needed to serve this project to ensure that they would not be committing to more maintenance expenses than the new tax revenue can cover. </w:t>
      </w:r>
    </w:p>
    <w:p w14:paraId="3894F269" w14:textId="77777777" w:rsidR="00DA51E9" w:rsidRDefault="003A1C34" w:rsidP="00F15D40">
      <w:pPr>
        <w:rPr>
          <w:b/>
          <w:color w:val="2E74B5" w:themeColor="accent1" w:themeShade="BF"/>
        </w:rPr>
      </w:pPr>
      <w:r>
        <w:rPr>
          <w:b/>
          <w:color w:val="2E74B5" w:themeColor="accent1" w:themeShade="BF"/>
        </w:rPr>
        <w:br/>
      </w:r>
      <w:r w:rsidR="00DA51E9" w:rsidRPr="00DA51E9">
        <w:rPr>
          <w:b/>
          <w:color w:val="2E74B5" w:themeColor="accent1" w:themeShade="BF"/>
        </w:rPr>
        <w:t>Comments from Affected Parties</w:t>
      </w:r>
    </w:p>
    <w:p w14:paraId="45247E7C" w14:textId="512E3012" w:rsidR="00916FA5" w:rsidRDefault="002F0F92" w:rsidP="00F15D40">
      <w:r>
        <w:rPr>
          <w:i/>
          <w:iCs/>
        </w:rPr>
        <w:t>Alan Hood, Airport Safety Data Program Manager, Georgia Department of Transportation</w:t>
      </w:r>
    </w:p>
    <w:p w14:paraId="26B5A370" w14:textId="77777777" w:rsidR="002F0F92" w:rsidRDefault="002F0F92" w:rsidP="002F0F92">
      <w:pPr>
        <w:rPr>
          <w:rFonts w:ascii="Calibri" w:hAnsi="Calibri"/>
          <w:szCs w:val="22"/>
        </w:rPr>
      </w:pPr>
      <w:r>
        <w:t xml:space="preserve">This waste sorting building is 1 mile off of the runway of the Cy Nunnally Memorial Airport (D73).  It is outside of the runway protection zone, but is within the approach and departure area.  An FAA Form 7460-1 should be submitted to the Federal Aviation Administration via </w:t>
      </w:r>
      <w:hyperlink r:id="rId8" w:history="1">
        <w:r>
          <w:rPr>
            <w:rStyle w:val="Hyperlink"/>
          </w:rPr>
          <w:t>https://oeaaa.faa.gov</w:t>
        </w:r>
      </w:hyperlink>
      <w:r>
        <w:t xml:space="preserve">. The FAA must be in receipt of the notifications, no later than 120 days prior to construction. The FAA will evaluate the potential impacts of the project on protected airspace associated with the airports and advise the proponent if any action is necessary. </w:t>
      </w:r>
    </w:p>
    <w:p w14:paraId="214BC2C0" w14:textId="77777777" w:rsidR="002F0F92" w:rsidRDefault="002F0F92" w:rsidP="002F0F92"/>
    <w:p w14:paraId="6830E4E5" w14:textId="727B0907" w:rsidR="002F0F92" w:rsidRDefault="002F0F92" w:rsidP="002F0F92">
      <w:r>
        <w:t xml:space="preserve">Enclosed waste-handling facilities that receive garbage behind closed doors; process it via compaction, incineration, or similar manner; and remove all residue by enclosed vehicles generally are compatible with safe airport operations, provided they are constructed and operated properly and are not located on airport property or within the Runway Protection Zone. These facilities should not handle or store putrescible waste outside or in a partially enclosed structure accessible to hazardous wildlife. Trash transfer facilities that are open on one or more sides; or store uncovered quantities of municipal solid waste outside, even if only for a short time; or use semi-trailers that leak or have trash clinging to the outside; or do not control odors by ventilation and filtration systems (odor masking is not acceptable) do not meet the FAA’s definition of fully enclosed trash transfer stations. The FAA considers fully enclosed waste-handling facilities constructed or operated incorrectly incompatible with safe airport operations if they are located closer than 10,000 of an </w:t>
      </w:r>
      <w:proofErr w:type="gramStart"/>
      <w:r>
        <w:t>airport</w:t>
      </w:r>
      <w:proofErr w:type="gramEnd"/>
      <w:r>
        <w:t>.</w:t>
      </w:r>
    </w:p>
    <w:p w14:paraId="048040BF" w14:textId="77777777" w:rsidR="00D00D3A" w:rsidRDefault="00D00D3A" w:rsidP="002F0F92"/>
    <w:p w14:paraId="12FE8914" w14:textId="2A11414F" w:rsidR="00D00D3A" w:rsidRDefault="00D00D3A" w:rsidP="002F0F92">
      <w:r>
        <w:rPr>
          <w:i/>
          <w:iCs/>
        </w:rPr>
        <w:t>Chris Bailey, Assistant City Manager, City of Monroe</w:t>
      </w:r>
    </w:p>
    <w:p w14:paraId="5F5B28F8" w14:textId="4ACC6518" w:rsidR="00D00D3A" w:rsidRPr="00D00D3A" w:rsidRDefault="00D00D3A" w:rsidP="002F0F92">
      <w:r>
        <w:t>(see attached)</w:t>
      </w:r>
    </w:p>
    <w:sectPr w:rsidR="00D00D3A" w:rsidRPr="00D00D3A" w:rsidSect="00240FC5">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EEB1" w14:textId="77777777" w:rsidR="00C02843" w:rsidRDefault="00C02843" w:rsidP="00820873">
      <w:r>
        <w:separator/>
      </w:r>
    </w:p>
  </w:endnote>
  <w:endnote w:type="continuationSeparator" w:id="0">
    <w:p w14:paraId="56DCE31B" w14:textId="77777777" w:rsidR="00C02843" w:rsidRDefault="00C02843" w:rsidP="0082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jan Pro">
    <w:altName w:val="Times New Roman"/>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2791493"/>
      <w:docPartObj>
        <w:docPartGallery w:val="Page Numbers (Bottom of Page)"/>
        <w:docPartUnique/>
      </w:docPartObj>
    </w:sdtPr>
    <w:sdtEndPr>
      <w:rPr>
        <w:noProof/>
      </w:rPr>
    </w:sdtEndPr>
    <w:sdtContent>
      <w:p w14:paraId="15CAC3CD" w14:textId="73EEEA0F" w:rsidR="001F5F55" w:rsidRPr="001F5F55" w:rsidRDefault="00276777" w:rsidP="001F5F55">
        <w:pPr>
          <w:pStyle w:val="Footer"/>
          <w:jc w:val="right"/>
          <w:rPr>
            <w:sz w:val="20"/>
          </w:rPr>
        </w:pPr>
        <w:r>
          <w:rPr>
            <w:sz w:val="20"/>
          </w:rPr>
          <w:t>DRI #</w:t>
        </w:r>
        <w:r w:rsidR="00CF10D4">
          <w:rPr>
            <w:sz w:val="20"/>
          </w:rPr>
          <w:t xml:space="preserve">4092 </w:t>
        </w:r>
        <w:r w:rsidR="001F5F55" w:rsidRPr="001F5F55">
          <w:rPr>
            <w:sz w:val="20"/>
          </w:rPr>
          <w:t xml:space="preserve">Final Report </w:t>
        </w:r>
        <w:r w:rsidR="001F5F55" w:rsidRPr="001F5F55">
          <w:rPr>
            <w:color w:val="5B9BD5" w:themeColor="accent1"/>
            <w:sz w:val="20"/>
          </w:rPr>
          <w:fldChar w:fldCharType="begin"/>
        </w:r>
        <w:r w:rsidR="001F5F55" w:rsidRPr="001F5F55">
          <w:rPr>
            <w:color w:val="5B9BD5" w:themeColor="accent1"/>
            <w:sz w:val="20"/>
          </w:rPr>
          <w:instrText xml:space="preserve"> PAGE   \* MERGEFORMAT </w:instrText>
        </w:r>
        <w:r w:rsidR="001F5F55" w:rsidRPr="001F5F55">
          <w:rPr>
            <w:color w:val="5B9BD5" w:themeColor="accent1"/>
            <w:sz w:val="20"/>
          </w:rPr>
          <w:fldChar w:fldCharType="separate"/>
        </w:r>
        <w:r w:rsidR="00385599">
          <w:rPr>
            <w:noProof/>
            <w:color w:val="5B9BD5" w:themeColor="accent1"/>
            <w:sz w:val="20"/>
          </w:rPr>
          <w:t>2</w:t>
        </w:r>
        <w:r w:rsidR="001F5F55" w:rsidRPr="001F5F55">
          <w:rPr>
            <w:color w:val="5B9BD5" w:themeColor="accent1"/>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5778" w14:textId="77777777" w:rsidR="00C02843" w:rsidRDefault="00C02843" w:rsidP="00820873">
      <w:r>
        <w:separator/>
      </w:r>
    </w:p>
  </w:footnote>
  <w:footnote w:type="continuationSeparator" w:id="0">
    <w:p w14:paraId="7F6E472B" w14:textId="77777777" w:rsidR="00C02843" w:rsidRDefault="00C02843" w:rsidP="00820873">
      <w:r>
        <w:continuationSeparator/>
      </w:r>
    </w:p>
  </w:footnote>
  <w:footnote w:id="1">
    <w:p w14:paraId="0368A4BE" w14:textId="77777777" w:rsidR="007D2CF5" w:rsidRPr="00176797" w:rsidRDefault="007D2CF5" w:rsidP="007D2CF5">
      <w:pPr>
        <w:pStyle w:val="FootnoteText"/>
        <w:rPr>
          <w:sz w:val="18"/>
          <w:szCs w:val="18"/>
        </w:rPr>
      </w:pPr>
      <w:r w:rsidRPr="00176797">
        <w:rPr>
          <w:rStyle w:val="FootnoteReference"/>
          <w:sz w:val="18"/>
          <w:szCs w:val="18"/>
        </w:rPr>
        <w:footnoteRef/>
      </w:r>
      <w:r w:rsidRPr="00176797">
        <w:rPr>
          <w:sz w:val="18"/>
          <w:szCs w:val="18"/>
        </w:rPr>
        <w:t xml:space="preserve"> Wetland acres are derived from the National Wetland Inventory (NWI)</w:t>
      </w:r>
    </w:p>
  </w:footnote>
  <w:footnote w:id="2">
    <w:p w14:paraId="6084B9E7" w14:textId="77777777" w:rsidR="007D2CF5" w:rsidRPr="00176797" w:rsidRDefault="007D2CF5" w:rsidP="007D2CF5">
      <w:pPr>
        <w:pStyle w:val="FootnoteText"/>
        <w:rPr>
          <w:sz w:val="18"/>
          <w:szCs w:val="18"/>
        </w:rPr>
      </w:pPr>
      <w:r w:rsidRPr="00176797">
        <w:rPr>
          <w:rStyle w:val="FootnoteReference"/>
          <w:sz w:val="18"/>
          <w:szCs w:val="18"/>
        </w:rPr>
        <w:footnoteRef/>
      </w:r>
      <w:r w:rsidRPr="00176797">
        <w:rPr>
          <w:sz w:val="18"/>
          <w:szCs w:val="18"/>
        </w:rPr>
        <w:t xml:space="preserve"> “Conservation” land is derived from the Northeast Georgia Regional Plan’s Conservation and Development Map (</w:t>
      </w:r>
      <w:r>
        <w:rPr>
          <w:sz w:val="18"/>
          <w:szCs w:val="18"/>
        </w:rPr>
        <w:t>6</w:t>
      </w:r>
      <w:r w:rsidRPr="00176797">
        <w:rPr>
          <w:sz w:val="18"/>
          <w:szCs w:val="18"/>
        </w:rPr>
        <w:t>/</w:t>
      </w:r>
      <w:r>
        <w:rPr>
          <w:sz w:val="18"/>
          <w:szCs w:val="18"/>
        </w:rPr>
        <w:t>15</w:t>
      </w:r>
      <w:r w:rsidRPr="00176797">
        <w:rPr>
          <w:sz w:val="18"/>
          <w:szCs w:val="18"/>
        </w:rPr>
        <w:t>/2023).</w:t>
      </w:r>
    </w:p>
  </w:footnote>
  <w:footnote w:id="3">
    <w:p w14:paraId="5EDCCB8D" w14:textId="77777777" w:rsidR="007D2CF5" w:rsidRPr="00176797" w:rsidRDefault="007D2CF5" w:rsidP="007D2CF5">
      <w:pPr>
        <w:pStyle w:val="FootnoteText"/>
        <w:rPr>
          <w:sz w:val="18"/>
          <w:szCs w:val="18"/>
        </w:rPr>
      </w:pPr>
      <w:r w:rsidRPr="00176797">
        <w:rPr>
          <w:rStyle w:val="FootnoteReference"/>
          <w:sz w:val="18"/>
          <w:szCs w:val="18"/>
        </w:rPr>
        <w:footnoteRef/>
      </w:r>
      <w:r w:rsidRPr="00176797">
        <w:rPr>
          <w:sz w:val="18"/>
          <w:szCs w:val="18"/>
        </w:rPr>
        <w:t xml:space="preserve"> Regionally Important Resources were identified as a part of the Northeast Georgia Resource Management Plan for Regionally Important Resources (2/15/2018).</w:t>
      </w:r>
    </w:p>
  </w:footnote>
  <w:footnote w:id="4">
    <w:p w14:paraId="5779CAFF" w14:textId="77777777" w:rsidR="007D2CF5" w:rsidRDefault="007D2CF5" w:rsidP="007D2CF5">
      <w:pPr>
        <w:pStyle w:val="FootnoteText"/>
      </w:pPr>
      <w:r w:rsidRPr="00176797">
        <w:rPr>
          <w:rStyle w:val="FootnoteReference"/>
          <w:sz w:val="18"/>
          <w:szCs w:val="18"/>
        </w:rPr>
        <w:footnoteRef/>
      </w:r>
      <w:r w:rsidRPr="00176797">
        <w:rPr>
          <w:sz w:val="18"/>
          <w:szCs w:val="18"/>
        </w:rPr>
        <w:t xml:space="preserve"> This area represents the intersection between Conservation areas (identified on the Conservation and Development Map</w:t>
      </w:r>
      <w:r>
        <w:rPr>
          <w:sz w:val="18"/>
          <w:szCs w:val="18"/>
        </w:rPr>
        <w:t>, 6/15/2023</w:t>
      </w:r>
      <w:r w:rsidRPr="00176797">
        <w:rPr>
          <w:sz w:val="18"/>
          <w:szCs w:val="18"/>
        </w:rPr>
        <w:t>), adopted Regionally Important Resources (RIR), and “Developed” and “Developing” Regional Land Use areas (identified on the Regional Land Use Map</w:t>
      </w:r>
      <w:r>
        <w:rPr>
          <w:sz w:val="18"/>
          <w:szCs w:val="18"/>
        </w:rPr>
        <w:t>,6/15/2023</w:t>
      </w:r>
      <w:r w:rsidRPr="0017679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2259"/>
    <w:multiLevelType w:val="hybridMultilevel"/>
    <w:tmpl w:val="CA9C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C6C2B"/>
    <w:multiLevelType w:val="hybridMultilevel"/>
    <w:tmpl w:val="1C9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5455F"/>
    <w:multiLevelType w:val="hybridMultilevel"/>
    <w:tmpl w:val="1874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469159">
    <w:abstractNumId w:val="0"/>
  </w:num>
  <w:num w:numId="2" w16cid:durableId="218126540">
    <w:abstractNumId w:val="2"/>
  </w:num>
  <w:num w:numId="3" w16cid:durableId="1913195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CB"/>
    <w:rsid w:val="0001387E"/>
    <w:rsid w:val="0002509C"/>
    <w:rsid w:val="00030605"/>
    <w:rsid w:val="00054149"/>
    <w:rsid w:val="000554A8"/>
    <w:rsid w:val="00076C82"/>
    <w:rsid w:val="00081FF3"/>
    <w:rsid w:val="000871A7"/>
    <w:rsid w:val="000A3F57"/>
    <w:rsid w:val="000A5F9D"/>
    <w:rsid w:val="000A7CD5"/>
    <w:rsid w:val="000B38DC"/>
    <w:rsid w:val="000C02E0"/>
    <w:rsid w:val="000D3D5C"/>
    <w:rsid w:val="000F4F6B"/>
    <w:rsid w:val="001070B2"/>
    <w:rsid w:val="00122445"/>
    <w:rsid w:val="0013141F"/>
    <w:rsid w:val="00136008"/>
    <w:rsid w:val="001403EB"/>
    <w:rsid w:val="00144EFA"/>
    <w:rsid w:val="00151C33"/>
    <w:rsid w:val="00165127"/>
    <w:rsid w:val="0019670E"/>
    <w:rsid w:val="001B409E"/>
    <w:rsid w:val="001F5F55"/>
    <w:rsid w:val="002254CE"/>
    <w:rsid w:val="00240FC5"/>
    <w:rsid w:val="00246F2C"/>
    <w:rsid w:val="00271972"/>
    <w:rsid w:val="00273C0A"/>
    <w:rsid w:val="002748AF"/>
    <w:rsid w:val="00276777"/>
    <w:rsid w:val="00286FB0"/>
    <w:rsid w:val="002A4C5C"/>
    <w:rsid w:val="002B3B4F"/>
    <w:rsid w:val="002C404A"/>
    <w:rsid w:val="002D2A5B"/>
    <w:rsid w:val="002D2EAC"/>
    <w:rsid w:val="002D33C1"/>
    <w:rsid w:val="002E1EFC"/>
    <w:rsid w:val="002F0B35"/>
    <w:rsid w:val="002F0F92"/>
    <w:rsid w:val="002F4AC8"/>
    <w:rsid w:val="0030276F"/>
    <w:rsid w:val="0032021A"/>
    <w:rsid w:val="003225FD"/>
    <w:rsid w:val="003515D1"/>
    <w:rsid w:val="00385599"/>
    <w:rsid w:val="003A1C34"/>
    <w:rsid w:val="003B29A5"/>
    <w:rsid w:val="003C608E"/>
    <w:rsid w:val="003C67CB"/>
    <w:rsid w:val="003E58FD"/>
    <w:rsid w:val="0043536E"/>
    <w:rsid w:val="004514D1"/>
    <w:rsid w:val="00460180"/>
    <w:rsid w:val="004812CB"/>
    <w:rsid w:val="0048158D"/>
    <w:rsid w:val="004A48BB"/>
    <w:rsid w:val="004B2277"/>
    <w:rsid w:val="004B296D"/>
    <w:rsid w:val="004B3679"/>
    <w:rsid w:val="004B7FFA"/>
    <w:rsid w:val="004C7130"/>
    <w:rsid w:val="00530E3F"/>
    <w:rsid w:val="005311AC"/>
    <w:rsid w:val="00541CC1"/>
    <w:rsid w:val="00550D6F"/>
    <w:rsid w:val="00576717"/>
    <w:rsid w:val="005862FC"/>
    <w:rsid w:val="005902DB"/>
    <w:rsid w:val="005B370A"/>
    <w:rsid w:val="005D4631"/>
    <w:rsid w:val="005F024A"/>
    <w:rsid w:val="00602C19"/>
    <w:rsid w:val="00605AF2"/>
    <w:rsid w:val="00614086"/>
    <w:rsid w:val="0063378B"/>
    <w:rsid w:val="00681D69"/>
    <w:rsid w:val="006A181D"/>
    <w:rsid w:val="006A6902"/>
    <w:rsid w:val="006B3450"/>
    <w:rsid w:val="006B540A"/>
    <w:rsid w:val="006D122A"/>
    <w:rsid w:val="006D62BE"/>
    <w:rsid w:val="006D67DD"/>
    <w:rsid w:val="006E7D3B"/>
    <w:rsid w:val="00710EFD"/>
    <w:rsid w:val="007177BF"/>
    <w:rsid w:val="00726DBB"/>
    <w:rsid w:val="00735565"/>
    <w:rsid w:val="00736979"/>
    <w:rsid w:val="00737A3A"/>
    <w:rsid w:val="00740609"/>
    <w:rsid w:val="00740A38"/>
    <w:rsid w:val="00745BC4"/>
    <w:rsid w:val="00771C58"/>
    <w:rsid w:val="007727D0"/>
    <w:rsid w:val="0077516A"/>
    <w:rsid w:val="007A1F53"/>
    <w:rsid w:val="007A7D00"/>
    <w:rsid w:val="007B15C5"/>
    <w:rsid w:val="007B730F"/>
    <w:rsid w:val="007C6C80"/>
    <w:rsid w:val="007D2CF5"/>
    <w:rsid w:val="007E04A0"/>
    <w:rsid w:val="00820873"/>
    <w:rsid w:val="008219A6"/>
    <w:rsid w:val="0082614D"/>
    <w:rsid w:val="00845BAD"/>
    <w:rsid w:val="00855C10"/>
    <w:rsid w:val="008616BE"/>
    <w:rsid w:val="008808FA"/>
    <w:rsid w:val="00881AD9"/>
    <w:rsid w:val="0089760D"/>
    <w:rsid w:val="008A0850"/>
    <w:rsid w:val="008D0437"/>
    <w:rsid w:val="008F64AC"/>
    <w:rsid w:val="00911ACB"/>
    <w:rsid w:val="00916FA5"/>
    <w:rsid w:val="00936AFB"/>
    <w:rsid w:val="009423AF"/>
    <w:rsid w:val="00962CAF"/>
    <w:rsid w:val="009C66CE"/>
    <w:rsid w:val="009E0A2E"/>
    <w:rsid w:val="00A10F6D"/>
    <w:rsid w:val="00A260CD"/>
    <w:rsid w:val="00A35A65"/>
    <w:rsid w:val="00A415D2"/>
    <w:rsid w:val="00A53E13"/>
    <w:rsid w:val="00A5577B"/>
    <w:rsid w:val="00A7397A"/>
    <w:rsid w:val="00A84F00"/>
    <w:rsid w:val="00A96E31"/>
    <w:rsid w:val="00AA6324"/>
    <w:rsid w:val="00AB0165"/>
    <w:rsid w:val="00AD62A3"/>
    <w:rsid w:val="00AF134F"/>
    <w:rsid w:val="00AF2136"/>
    <w:rsid w:val="00B017C9"/>
    <w:rsid w:val="00B2213D"/>
    <w:rsid w:val="00B34042"/>
    <w:rsid w:val="00B4300F"/>
    <w:rsid w:val="00B514B9"/>
    <w:rsid w:val="00B811A5"/>
    <w:rsid w:val="00B81EF7"/>
    <w:rsid w:val="00BC71D7"/>
    <w:rsid w:val="00BE0F82"/>
    <w:rsid w:val="00BE320F"/>
    <w:rsid w:val="00BF16D3"/>
    <w:rsid w:val="00BF574C"/>
    <w:rsid w:val="00C02843"/>
    <w:rsid w:val="00C2540D"/>
    <w:rsid w:val="00C40012"/>
    <w:rsid w:val="00C45F3B"/>
    <w:rsid w:val="00C6200A"/>
    <w:rsid w:val="00C70852"/>
    <w:rsid w:val="00C7155C"/>
    <w:rsid w:val="00C94A2B"/>
    <w:rsid w:val="00C95576"/>
    <w:rsid w:val="00CA6830"/>
    <w:rsid w:val="00CC0400"/>
    <w:rsid w:val="00CC77ED"/>
    <w:rsid w:val="00CD22F0"/>
    <w:rsid w:val="00CE2C36"/>
    <w:rsid w:val="00CE75DA"/>
    <w:rsid w:val="00CF10A8"/>
    <w:rsid w:val="00CF10D4"/>
    <w:rsid w:val="00D00D3A"/>
    <w:rsid w:val="00D03A96"/>
    <w:rsid w:val="00D14FE0"/>
    <w:rsid w:val="00D542BA"/>
    <w:rsid w:val="00D67319"/>
    <w:rsid w:val="00D74E58"/>
    <w:rsid w:val="00D87487"/>
    <w:rsid w:val="00DA51E9"/>
    <w:rsid w:val="00E2268C"/>
    <w:rsid w:val="00E25825"/>
    <w:rsid w:val="00E30268"/>
    <w:rsid w:val="00E42AEA"/>
    <w:rsid w:val="00E55E12"/>
    <w:rsid w:val="00E6203F"/>
    <w:rsid w:val="00E77F00"/>
    <w:rsid w:val="00E90DDB"/>
    <w:rsid w:val="00E90F4C"/>
    <w:rsid w:val="00EA2BA1"/>
    <w:rsid w:val="00EB5AEA"/>
    <w:rsid w:val="00EC5DCD"/>
    <w:rsid w:val="00F15D40"/>
    <w:rsid w:val="00F21F85"/>
    <w:rsid w:val="00F34BD8"/>
    <w:rsid w:val="00F352B3"/>
    <w:rsid w:val="00F42047"/>
    <w:rsid w:val="00F43B4F"/>
    <w:rsid w:val="00F47F5A"/>
    <w:rsid w:val="00F6543E"/>
    <w:rsid w:val="00F73143"/>
    <w:rsid w:val="00F83E9F"/>
    <w:rsid w:val="00FB794A"/>
    <w:rsid w:val="00FE630F"/>
    <w:rsid w:val="00FE7983"/>
    <w:rsid w:val="00F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30721"/>
    <o:shapelayout v:ext="edit">
      <o:idmap v:ext="edit" data="1"/>
    </o:shapelayout>
  </w:shapeDefaults>
  <w:decimalSymbol w:val="."/>
  <w:listSeparator w:val=","/>
  <w14:docId w14:val="3DCF3019"/>
  <w15:chartTrackingRefBased/>
  <w15:docId w15:val="{A092FE24-8B79-4525-B124-6E5E60E4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277"/>
    <w:rPr>
      <w:rFonts w:ascii="Palatino Linotype" w:hAnsi="Palatino Linotype"/>
      <w:sz w:val="22"/>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Cs w:val="20"/>
    </w:rPr>
  </w:style>
  <w:style w:type="paragraph" w:styleId="Heading3">
    <w:name w:val="heading 3"/>
    <w:basedOn w:val="Normal"/>
    <w:next w:val="Normal"/>
    <w:link w:val="Heading3Char"/>
    <w:semiHidden/>
    <w:unhideWhenUsed/>
    <w:qFormat/>
    <w:rsid w:val="00602C1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link w:val="HeaderChar"/>
    <w:rsid w:val="00820873"/>
    <w:pPr>
      <w:tabs>
        <w:tab w:val="center" w:pos="4680"/>
        <w:tab w:val="right" w:pos="9360"/>
      </w:tabs>
    </w:pPr>
  </w:style>
  <w:style w:type="character" w:customStyle="1" w:styleId="HeaderChar">
    <w:name w:val="Header Char"/>
    <w:link w:val="Header"/>
    <w:rsid w:val="00820873"/>
    <w:rPr>
      <w:sz w:val="24"/>
      <w:szCs w:val="24"/>
    </w:rPr>
  </w:style>
  <w:style w:type="paragraph" w:styleId="Footer">
    <w:name w:val="footer"/>
    <w:basedOn w:val="Normal"/>
    <w:link w:val="FooterChar"/>
    <w:uiPriority w:val="99"/>
    <w:rsid w:val="00820873"/>
    <w:pPr>
      <w:tabs>
        <w:tab w:val="center" w:pos="4680"/>
        <w:tab w:val="right" w:pos="9360"/>
      </w:tabs>
    </w:pPr>
  </w:style>
  <w:style w:type="character" w:customStyle="1" w:styleId="FooterChar">
    <w:name w:val="Footer Char"/>
    <w:link w:val="Footer"/>
    <w:uiPriority w:val="99"/>
    <w:rsid w:val="00820873"/>
    <w:rPr>
      <w:sz w:val="24"/>
      <w:szCs w:val="24"/>
    </w:rPr>
  </w:style>
  <w:style w:type="paragraph" w:styleId="NoSpacing">
    <w:name w:val="No Spacing"/>
    <w:uiPriority w:val="1"/>
    <w:qFormat/>
    <w:rsid w:val="005311AC"/>
    <w:rPr>
      <w:sz w:val="24"/>
      <w:szCs w:val="24"/>
    </w:rPr>
  </w:style>
  <w:style w:type="character" w:styleId="Strong">
    <w:name w:val="Strong"/>
    <w:basedOn w:val="DefaultParagraphFont"/>
    <w:qFormat/>
    <w:rsid w:val="00240FC5"/>
    <w:rPr>
      <w:b/>
      <w:bCs/>
    </w:rPr>
  </w:style>
  <w:style w:type="paragraph" w:customStyle="1" w:styleId="Default">
    <w:name w:val="Default"/>
    <w:rsid w:val="002D2EAC"/>
    <w:pPr>
      <w:autoSpaceDE w:val="0"/>
      <w:autoSpaceDN w:val="0"/>
      <w:adjustRightInd w:val="0"/>
    </w:pPr>
    <w:rPr>
      <w:rFonts w:ascii="Lucida Sans" w:eastAsia="Calibri" w:hAnsi="Lucida Sans" w:cs="Lucida Sans"/>
      <w:color w:val="000000"/>
      <w:sz w:val="24"/>
      <w:szCs w:val="24"/>
    </w:rPr>
  </w:style>
  <w:style w:type="character" w:customStyle="1" w:styleId="Heading3Char">
    <w:name w:val="Heading 3 Char"/>
    <w:basedOn w:val="DefaultParagraphFont"/>
    <w:link w:val="Heading3"/>
    <w:semiHidden/>
    <w:rsid w:val="00602C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62CAF"/>
    <w:pPr>
      <w:ind w:left="720"/>
      <w:contextualSpacing/>
    </w:pPr>
    <w:rPr>
      <w:sz w:val="20"/>
    </w:rPr>
  </w:style>
  <w:style w:type="table" w:styleId="PlainTable1">
    <w:name w:val="Plain Table 1"/>
    <w:basedOn w:val="TableNormal"/>
    <w:uiPriority w:val="41"/>
    <w:rsid w:val="00AB01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7D2CF5"/>
    <w:rPr>
      <w:sz w:val="20"/>
      <w:szCs w:val="20"/>
    </w:rPr>
  </w:style>
  <w:style w:type="character" w:customStyle="1" w:styleId="FootnoteTextChar">
    <w:name w:val="Footnote Text Char"/>
    <w:basedOn w:val="DefaultParagraphFont"/>
    <w:link w:val="FootnoteText"/>
    <w:rsid w:val="007D2CF5"/>
    <w:rPr>
      <w:rFonts w:ascii="Palatino Linotype" w:hAnsi="Palatino Linotype"/>
    </w:rPr>
  </w:style>
  <w:style w:type="character" w:styleId="FootnoteReference">
    <w:name w:val="footnote reference"/>
    <w:basedOn w:val="DefaultParagraphFont"/>
    <w:rsid w:val="007D2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aaa.fa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Pages>
  <Words>2069</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NEGRDC</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Carol Flaute</cp:lastModifiedBy>
  <cp:revision>17</cp:revision>
  <cp:lastPrinted>2017-05-02T15:58:00Z</cp:lastPrinted>
  <dcterms:created xsi:type="dcterms:W3CDTF">2022-03-21T13:11:00Z</dcterms:created>
  <dcterms:modified xsi:type="dcterms:W3CDTF">2023-11-15T21:12:00Z</dcterms:modified>
</cp:coreProperties>
</file>