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69" w:rsidRDefault="005E1214">
      <w:pPr>
        <w:rPr>
          <w:rFonts w:cstheme="minorHAnsi"/>
          <w:b/>
          <w:sz w:val="24"/>
          <w:szCs w:val="24"/>
        </w:rPr>
      </w:pPr>
      <w:r>
        <w:rPr>
          <w:noProof/>
        </w:rPr>
        <w:drawing>
          <wp:anchor distT="0" distB="0" distL="114300" distR="114300" simplePos="0" relativeHeight="251670528" behindDoc="1" locked="0" layoutInCell="1" allowOverlap="1" wp14:anchorId="55637237" wp14:editId="632185B7">
            <wp:simplePos x="0" y="0"/>
            <wp:positionH relativeFrom="margin">
              <wp:posOffset>-114300</wp:posOffset>
            </wp:positionH>
            <wp:positionV relativeFrom="margin">
              <wp:posOffset>-32160</wp:posOffset>
            </wp:positionV>
            <wp:extent cx="6197733" cy="8384224"/>
            <wp:effectExtent l="0" t="0" r="0" b="0"/>
            <wp:wrapNone/>
            <wp:docPr id="27" name="Picture 27" descr="C:\Documents and Settings\nina\My Documents\My Pictures\NEG DEP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ina\My Documents\My Pictures\NEG DEP cover p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7733" cy="83842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C69" w:rsidRDefault="00B57C69">
      <w:pPr>
        <w:rPr>
          <w:rFonts w:cstheme="minorHAnsi"/>
          <w:b/>
          <w:sz w:val="24"/>
          <w:szCs w:val="24"/>
        </w:rPr>
      </w:pPr>
      <w:r>
        <w:rPr>
          <w:rFonts w:cstheme="minorHAnsi"/>
          <w:b/>
          <w:sz w:val="24"/>
          <w:szCs w:val="24"/>
        </w:rPr>
        <w:br w:type="page"/>
      </w:r>
    </w:p>
    <w:sdt>
      <w:sdtPr>
        <w:rPr>
          <w:rFonts w:eastAsiaTheme="minorHAnsi" w:cstheme="minorBidi"/>
          <w:b w:val="0"/>
          <w:bCs w:val="0"/>
          <w:sz w:val="22"/>
          <w:szCs w:val="22"/>
          <w:lang w:eastAsia="en-US"/>
        </w:rPr>
        <w:id w:val="-1537336861"/>
        <w:docPartObj>
          <w:docPartGallery w:val="Table of Contents"/>
          <w:docPartUnique/>
        </w:docPartObj>
      </w:sdtPr>
      <w:sdtEndPr>
        <w:rPr>
          <w:noProof/>
        </w:rPr>
      </w:sdtEndPr>
      <w:sdtContent>
        <w:p w:rsidR="000155BE" w:rsidRDefault="00B57C69" w:rsidP="00F018BC">
          <w:pPr>
            <w:pStyle w:val="TOCHeading"/>
          </w:pPr>
          <w:r>
            <w:t xml:space="preserve">Table of </w:t>
          </w:r>
          <w:r w:rsidR="000155BE">
            <w:t>Contents</w:t>
          </w:r>
        </w:p>
        <w:p w:rsidR="005E1214" w:rsidRDefault="000155B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5275919" w:history="1">
            <w:r w:rsidR="005E1214" w:rsidRPr="00816C20">
              <w:rPr>
                <w:rStyle w:val="Hyperlink"/>
                <w:noProof/>
              </w:rPr>
              <w:t>Executive Summary</w:t>
            </w:r>
            <w:r w:rsidR="005E1214">
              <w:rPr>
                <w:noProof/>
                <w:webHidden/>
              </w:rPr>
              <w:tab/>
            </w:r>
            <w:r w:rsidR="005E1214">
              <w:rPr>
                <w:noProof/>
                <w:webHidden/>
              </w:rPr>
              <w:fldChar w:fldCharType="begin"/>
            </w:r>
            <w:r w:rsidR="005E1214">
              <w:rPr>
                <w:noProof/>
                <w:webHidden/>
              </w:rPr>
              <w:instrText xml:space="preserve"> PAGEREF _Toc395275919 \h </w:instrText>
            </w:r>
            <w:r w:rsidR="005E1214">
              <w:rPr>
                <w:noProof/>
                <w:webHidden/>
              </w:rPr>
            </w:r>
            <w:r w:rsidR="005E1214">
              <w:rPr>
                <w:noProof/>
                <w:webHidden/>
              </w:rPr>
              <w:fldChar w:fldCharType="separate"/>
            </w:r>
            <w:r w:rsidR="005E1214">
              <w:rPr>
                <w:noProof/>
                <w:webHidden/>
              </w:rPr>
              <w:t>1</w:t>
            </w:r>
            <w:r w:rsidR="005E1214">
              <w:rPr>
                <w:noProof/>
                <w:webHidden/>
              </w:rPr>
              <w:fldChar w:fldCharType="end"/>
            </w:r>
          </w:hyperlink>
        </w:p>
        <w:p w:rsidR="005E1214" w:rsidRDefault="00481858">
          <w:pPr>
            <w:pStyle w:val="TOC1"/>
            <w:tabs>
              <w:tab w:val="right" w:leader="dot" w:pos="9350"/>
            </w:tabs>
            <w:rPr>
              <w:rFonts w:eastAsiaTheme="minorEastAsia"/>
              <w:noProof/>
            </w:rPr>
          </w:pPr>
          <w:hyperlink w:anchor="_Toc395275920" w:history="1">
            <w:r w:rsidR="005E1214" w:rsidRPr="00816C20">
              <w:rPr>
                <w:rStyle w:val="Hyperlink"/>
                <w:noProof/>
              </w:rPr>
              <w:t>Introduction</w:t>
            </w:r>
            <w:r w:rsidR="005E1214">
              <w:rPr>
                <w:noProof/>
                <w:webHidden/>
              </w:rPr>
              <w:tab/>
            </w:r>
            <w:r w:rsidR="005E1214">
              <w:rPr>
                <w:noProof/>
                <w:webHidden/>
              </w:rPr>
              <w:fldChar w:fldCharType="begin"/>
            </w:r>
            <w:r w:rsidR="005E1214">
              <w:rPr>
                <w:noProof/>
                <w:webHidden/>
              </w:rPr>
              <w:instrText xml:space="preserve"> PAGEREF _Toc395275920 \h </w:instrText>
            </w:r>
            <w:r w:rsidR="005E1214">
              <w:rPr>
                <w:noProof/>
                <w:webHidden/>
              </w:rPr>
            </w:r>
            <w:r w:rsidR="005E1214">
              <w:rPr>
                <w:noProof/>
                <w:webHidden/>
              </w:rPr>
              <w:fldChar w:fldCharType="separate"/>
            </w:r>
            <w:r w:rsidR="005E1214">
              <w:rPr>
                <w:noProof/>
                <w:webHidden/>
              </w:rPr>
              <w:t>3</w:t>
            </w:r>
            <w:r w:rsidR="005E1214">
              <w:rPr>
                <w:noProof/>
                <w:webHidden/>
              </w:rPr>
              <w:fldChar w:fldCharType="end"/>
            </w:r>
          </w:hyperlink>
        </w:p>
        <w:p w:rsidR="005E1214" w:rsidRDefault="00481858">
          <w:pPr>
            <w:pStyle w:val="TOC1"/>
            <w:tabs>
              <w:tab w:val="right" w:leader="dot" w:pos="9350"/>
            </w:tabs>
            <w:rPr>
              <w:rFonts w:eastAsiaTheme="minorEastAsia"/>
              <w:noProof/>
            </w:rPr>
          </w:pPr>
          <w:hyperlink w:anchor="_Toc395275921" w:history="1">
            <w:r w:rsidR="005E1214" w:rsidRPr="00816C20">
              <w:rPr>
                <w:rStyle w:val="Hyperlink"/>
                <w:noProof/>
              </w:rPr>
              <w:t>Regional Stakeholders</w:t>
            </w:r>
            <w:r w:rsidR="005E1214">
              <w:rPr>
                <w:noProof/>
                <w:webHidden/>
              </w:rPr>
              <w:tab/>
            </w:r>
            <w:r w:rsidR="005E1214">
              <w:rPr>
                <w:noProof/>
                <w:webHidden/>
              </w:rPr>
              <w:fldChar w:fldCharType="begin"/>
            </w:r>
            <w:r w:rsidR="005E1214">
              <w:rPr>
                <w:noProof/>
                <w:webHidden/>
              </w:rPr>
              <w:instrText xml:space="preserve"> PAGEREF _Toc395275921 \h </w:instrText>
            </w:r>
            <w:r w:rsidR="005E1214">
              <w:rPr>
                <w:noProof/>
                <w:webHidden/>
              </w:rPr>
            </w:r>
            <w:r w:rsidR="005E1214">
              <w:rPr>
                <w:noProof/>
                <w:webHidden/>
              </w:rPr>
              <w:fldChar w:fldCharType="separate"/>
            </w:r>
            <w:r w:rsidR="005E1214">
              <w:rPr>
                <w:noProof/>
                <w:webHidden/>
              </w:rPr>
              <w:t>5</w:t>
            </w:r>
            <w:r w:rsidR="005E1214">
              <w:rPr>
                <w:noProof/>
                <w:webHidden/>
              </w:rPr>
              <w:fldChar w:fldCharType="end"/>
            </w:r>
          </w:hyperlink>
        </w:p>
        <w:p w:rsidR="005E1214" w:rsidRDefault="00481858">
          <w:pPr>
            <w:pStyle w:val="TOC1"/>
            <w:tabs>
              <w:tab w:val="right" w:leader="dot" w:pos="9350"/>
            </w:tabs>
            <w:rPr>
              <w:rFonts w:eastAsiaTheme="minorEastAsia"/>
              <w:noProof/>
            </w:rPr>
          </w:pPr>
          <w:hyperlink w:anchor="_Toc395275922" w:history="1">
            <w:r w:rsidR="005E1214" w:rsidRPr="00816C20">
              <w:rPr>
                <w:rStyle w:val="Hyperlink"/>
                <w:noProof/>
              </w:rPr>
              <w:t>Economic Summary</w:t>
            </w:r>
            <w:r w:rsidR="005E1214">
              <w:rPr>
                <w:noProof/>
                <w:webHidden/>
              </w:rPr>
              <w:tab/>
            </w:r>
            <w:r w:rsidR="005E1214">
              <w:rPr>
                <w:noProof/>
                <w:webHidden/>
              </w:rPr>
              <w:fldChar w:fldCharType="begin"/>
            </w:r>
            <w:r w:rsidR="005E1214">
              <w:rPr>
                <w:noProof/>
                <w:webHidden/>
              </w:rPr>
              <w:instrText xml:space="preserve"> PAGEREF _Toc395275922 \h </w:instrText>
            </w:r>
            <w:r w:rsidR="005E1214">
              <w:rPr>
                <w:noProof/>
                <w:webHidden/>
              </w:rPr>
            </w:r>
            <w:r w:rsidR="005E1214">
              <w:rPr>
                <w:noProof/>
                <w:webHidden/>
              </w:rPr>
              <w:fldChar w:fldCharType="separate"/>
            </w:r>
            <w:r w:rsidR="005E1214">
              <w:rPr>
                <w:noProof/>
                <w:webHidden/>
              </w:rPr>
              <w:t>7</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23" w:history="1">
            <w:r w:rsidR="005E1214" w:rsidRPr="00816C20">
              <w:rPr>
                <w:rStyle w:val="Hyperlink"/>
                <w:noProof/>
              </w:rPr>
              <w:t>Top 10 Sectors (2013)</w:t>
            </w:r>
            <w:r w:rsidR="005E1214">
              <w:rPr>
                <w:noProof/>
                <w:webHidden/>
              </w:rPr>
              <w:tab/>
            </w:r>
            <w:r w:rsidR="005E1214">
              <w:rPr>
                <w:noProof/>
                <w:webHidden/>
              </w:rPr>
              <w:fldChar w:fldCharType="begin"/>
            </w:r>
            <w:r w:rsidR="005E1214">
              <w:rPr>
                <w:noProof/>
                <w:webHidden/>
              </w:rPr>
              <w:instrText xml:space="preserve"> PAGEREF _Toc395275923 \h </w:instrText>
            </w:r>
            <w:r w:rsidR="005E1214">
              <w:rPr>
                <w:noProof/>
                <w:webHidden/>
              </w:rPr>
            </w:r>
            <w:r w:rsidR="005E1214">
              <w:rPr>
                <w:noProof/>
                <w:webHidden/>
              </w:rPr>
              <w:fldChar w:fldCharType="separate"/>
            </w:r>
            <w:r w:rsidR="005E1214">
              <w:rPr>
                <w:noProof/>
                <w:webHidden/>
              </w:rPr>
              <w:t>7</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24" w:history="1">
            <w:r w:rsidR="005E1214" w:rsidRPr="00816C20">
              <w:rPr>
                <w:rStyle w:val="Hyperlink"/>
                <w:noProof/>
              </w:rPr>
              <w:t>Employment Wage Statistics (2013)</w:t>
            </w:r>
            <w:r w:rsidR="005E1214">
              <w:rPr>
                <w:noProof/>
                <w:webHidden/>
              </w:rPr>
              <w:tab/>
            </w:r>
            <w:r w:rsidR="005E1214">
              <w:rPr>
                <w:noProof/>
                <w:webHidden/>
              </w:rPr>
              <w:fldChar w:fldCharType="begin"/>
            </w:r>
            <w:r w:rsidR="005E1214">
              <w:rPr>
                <w:noProof/>
                <w:webHidden/>
              </w:rPr>
              <w:instrText xml:space="preserve"> PAGEREF _Toc395275924 \h </w:instrText>
            </w:r>
            <w:r w:rsidR="005E1214">
              <w:rPr>
                <w:noProof/>
                <w:webHidden/>
              </w:rPr>
            </w:r>
            <w:r w:rsidR="005E1214">
              <w:rPr>
                <w:noProof/>
                <w:webHidden/>
              </w:rPr>
              <w:fldChar w:fldCharType="separate"/>
            </w:r>
            <w:r w:rsidR="005E1214">
              <w:rPr>
                <w:noProof/>
                <w:webHidden/>
              </w:rPr>
              <w:t>8</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25" w:history="1">
            <w:r w:rsidR="005E1214" w:rsidRPr="00816C20">
              <w:rPr>
                <w:rStyle w:val="Hyperlink"/>
                <w:noProof/>
              </w:rPr>
              <w:t>Unemployment Rate</w:t>
            </w:r>
            <w:r w:rsidR="005E1214">
              <w:rPr>
                <w:noProof/>
                <w:webHidden/>
              </w:rPr>
              <w:tab/>
            </w:r>
            <w:r w:rsidR="005E1214">
              <w:rPr>
                <w:noProof/>
                <w:webHidden/>
              </w:rPr>
              <w:fldChar w:fldCharType="begin"/>
            </w:r>
            <w:r w:rsidR="005E1214">
              <w:rPr>
                <w:noProof/>
                <w:webHidden/>
              </w:rPr>
              <w:instrText xml:space="preserve"> PAGEREF _Toc395275925 \h </w:instrText>
            </w:r>
            <w:r w:rsidR="005E1214">
              <w:rPr>
                <w:noProof/>
                <w:webHidden/>
              </w:rPr>
            </w:r>
            <w:r w:rsidR="005E1214">
              <w:rPr>
                <w:noProof/>
                <w:webHidden/>
              </w:rPr>
              <w:fldChar w:fldCharType="separate"/>
            </w:r>
            <w:r w:rsidR="005E1214">
              <w:rPr>
                <w:noProof/>
                <w:webHidden/>
              </w:rPr>
              <w:t>8</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26" w:history="1">
            <w:r w:rsidR="005E1214" w:rsidRPr="00816C20">
              <w:rPr>
                <w:rStyle w:val="Hyperlink"/>
                <w:noProof/>
              </w:rPr>
              <w:t>Opportunity Zones</w:t>
            </w:r>
            <w:r w:rsidR="005E1214">
              <w:rPr>
                <w:noProof/>
                <w:webHidden/>
              </w:rPr>
              <w:tab/>
            </w:r>
            <w:r w:rsidR="005E1214">
              <w:rPr>
                <w:noProof/>
                <w:webHidden/>
              </w:rPr>
              <w:fldChar w:fldCharType="begin"/>
            </w:r>
            <w:r w:rsidR="005E1214">
              <w:rPr>
                <w:noProof/>
                <w:webHidden/>
              </w:rPr>
              <w:instrText xml:space="preserve"> PAGEREF _Toc395275926 \h </w:instrText>
            </w:r>
            <w:r w:rsidR="005E1214">
              <w:rPr>
                <w:noProof/>
                <w:webHidden/>
              </w:rPr>
            </w:r>
            <w:r w:rsidR="005E1214">
              <w:rPr>
                <w:noProof/>
                <w:webHidden/>
              </w:rPr>
              <w:fldChar w:fldCharType="separate"/>
            </w:r>
            <w:r w:rsidR="005E1214">
              <w:rPr>
                <w:noProof/>
                <w:webHidden/>
              </w:rPr>
              <w:t>9</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27" w:history="1">
            <w:r w:rsidR="005E1214" w:rsidRPr="00816C20">
              <w:rPr>
                <w:rStyle w:val="Hyperlink"/>
                <w:noProof/>
              </w:rPr>
              <w:t>Job Tax Credits</w:t>
            </w:r>
            <w:r w:rsidR="005E1214">
              <w:rPr>
                <w:noProof/>
                <w:webHidden/>
              </w:rPr>
              <w:tab/>
            </w:r>
            <w:r w:rsidR="005E1214">
              <w:rPr>
                <w:noProof/>
                <w:webHidden/>
              </w:rPr>
              <w:fldChar w:fldCharType="begin"/>
            </w:r>
            <w:r w:rsidR="005E1214">
              <w:rPr>
                <w:noProof/>
                <w:webHidden/>
              </w:rPr>
              <w:instrText xml:space="preserve"> PAGEREF _Toc395275927 \h </w:instrText>
            </w:r>
            <w:r w:rsidR="005E1214">
              <w:rPr>
                <w:noProof/>
                <w:webHidden/>
              </w:rPr>
            </w:r>
            <w:r w:rsidR="005E1214">
              <w:rPr>
                <w:noProof/>
                <w:webHidden/>
              </w:rPr>
              <w:fldChar w:fldCharType="separate"/>
            </w:r>
            <w:r w:rsidR="005E1214">
              <w:rPr>
                <w:noProof/>
                <w:webHidden/>
              </w:rPr>
              <w:t>10</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28" w:history="1">
            <w:r w:rsidR="005E1214" w:rsidRPr="00816C20">
              <w:rPr>
                <w:rStyle w:val="Hyperlink"/>
                <w:noProof/>
              </w:rPr>
              <w:t>Joint Development Authorities</w:t>
            </w:r>
            <w:r w:rsidR="005E1214">
              <w:rPr>
                <w:noProof/>
                <w:webHidden/>
              </w:rPr>
              <w:tab/>
            </w:r>
            <w:r w:rsidR="005E1214">
              <w:rPr>
                <w:noProof/>
                <w:webHidden/>
              </w:rPr>
              <w:fldChar w:fldCharType="begin"/>
            </w:r>
            <w:r w:rsidR="005E1214">
              <w:rPr>
                <w:noProof/>
                <w:webHidden/>
              </w:rPr>
              <w:instrText xml:space="preserve"> PAGEREF _Toc395275928 \h </w:instrText>
            </w:r>
            <w:r w:rsidR="005E1214">
              <w:rPr>
                <w:noProof/>
                <w:webHidden/>
              </w:rPr>
            </w:r>
            <w:r w:rsidR="005E1214">
              <w:rPr>
                <w:noProof/>
                <w:webHidden/>
              </w:rPr>
              <w:fldChar w:fldCharType="separate"/>
            </w:r>
            <w:r w:rsidR="005E1214">
              <w:rPr>
                <w:noProof/>
                <w:webHidden/>
              </w:rPr>
              <w:t>10</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29" w:history="1">
            <w:r w:rsidR="005E1214" w:rsidRPr="00816C20">
              <w:rPr>
                <w:rStyle w:val="Hyperlink"/>
                <w:noProof/>
              </w:rPr>
              <w:t>Major Employers</w:t>
            </w:r>
            <w:r w:rsidR="005E1214">
              <w:rPr>
                <w:noProof/>
                <w:webHidden/>
              </w:rPr>
              <w:tab/>
            </w:r>
            <w:r w:rsidR="005E1214">
              <w:rPr>
                <w:noProof/>
                <w:webHidden/>
              </w:rPr>
              <w:fldChar w:fldCharType="begin"/>
            </w:r>
            <w:r w:rsidR="005E1214">
              <w:rPr>
                <w:noProof/>
                <w:webHidden/>
              </w:rPr>
              <w:instrText xml:space="preserve"> PAGEREF _Toc395275929 \h </w:instrText>
            </w:r>
            <w:r w:rsidR="005E1214">
              <w:rPr>
                <w:noProof/>
                <w:webHidden/>
              </w:rPr>
            </w:r>
            <w:r w:rsidR="005E1214">
              <w:rPr>
                <w:noProof/>
                <w:webHidden/>
              </w:rPr>
              <w:fldChar w:fldCharType="separate"/>
            </w:r>
            <w:r w:rsidR="005E1214">
              <w:rPr>
                <w:noProof/>
                <w:webHidden/>
              </w:rPr>
              <w:t>11</w:t>
            </w:r>
            <w:r w:rsidR="005E1214">
              <w:rPr>
                <w:noProof/>
                <w:webHidden/>
              </w:rPr>
              <w:fldChar w:fldCharType="end"/>
            </w:r>
          </w:hyperlink>
        </w:p>
        <w:p w:rsidR="005E1214" w:rsidRDefault="00481858">
          <w:pPr>
            <w:pStyle w:val="TOC1"/>
            <w:tabs>
              <w:tab w:val="right" w:leader="dot" w:pos="9350"/>
            </w:tabs>
            <w:rPr>
              <w:rFonts w:eastAsiaTheme="minorEastAsia"/>
              <w:noProof/>
            </w:rPr>
          </w:pPr>
          <w:hyperlink w:anchor="_Toc395275930" w:history="1">
            <w:r w:rsidR="005E1214" w:rsidRPr="00816C20">
              <w:rPr>
                <w:rStyle w:val="Hyperlink"/>
                <w:noProof/>
              </w:rPr>
              <w:t>Workforce and Demographic Summary</w:t>
            </w:r>
            <w:r w:rsidR="005E1214">
              <w:rPr>
                <w:noProof/>
                <w:webHidden/>
              </w:rPr>
              <w:tab/>
            </w:r>
            <w:r w:rsidR="005E1214">
              <w:rPr>
                <w:noProof/>
                <w:webHidden/>
              </w:rPr>
              <w:fldChar w:fldCharType="begin"/>
            </w:r>
            <w:r w:rsidR="005E1214">
              <w:rPr>
                <w:noProof/>
                <w:webHidden/>
              </w:rPr>
              <w:instrText xml:space="preserve"> PAGEREF _Toc395275930 \h </w:instrText>
            </w:r>
            <w:r w:rsidR="005E1214">
              <w:rPr>
                <w:noProof/>
                <w:webHidden/>
              </w:rPr>
            </w:r>
            <w:r w:rsidR="005E1214">
              <w:rPr>
                <w:noProof/>
                <w:webHidden/>
              </w:rPr>
              <w:fldChar w:fldCharType="separate"/>
            </w:r>
            <w:r w:rsidR="005E1214">
              <w:rPr>
                <w:noProof/>
                <w:webHidden/>
              </w:rPr>
              <w:t>13</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31" w:history="1">
            <w:r w:rsidR="005E1214" w:rsidRPr="00816C20">
              <w:rPr>
                <w:rStyle w:val="Hyperlink"/>
                <w:noProof/>
              </w:rPr>
              <w:t>Population Forecasts Through 2030</w:t>
            </w:r>
            <w:r w:rsidR="005E1214">
              <w:rPr>
                <w:noProof/>
                <w:webHidden/>
              </w:rPr>
              <w:tab/>
            </w:r>
            <w:r w:rsidR="005E1214">
              <w:rPr>
                <w:noProof/>
                <w:webHidden/>
              </w:rPr>
              <w:fldChar w:fldCharType="begin"/>
            </w:r>
            <w:r w:rsidR="005E1214">
              <w:rPr>
                <w:noProof/>
                <w:webHidden/>
              </w:rPr>
              <w:instrText xml:space="preserve"> PAGEREF _Toc395275931 \h </w:instrText>
            </w:r>
            <w:r w:rsidR="005E1214">
              <w:rPr>
                <w:noProof/>
                <w:webHidden/>
              </w:rPr>
            </w:r>
            <w:r w:rsidR="005E1214">
              <w:rPr>
                <w:noProof/>
                <w:webHidden/>
              </w:rPr>
              <w:fldChar w:fldCharType="separate"/>
            </w:r>
            <w:r w:rsidR="005E1214">
              <w:rPr>
                <w:noProof/>
                <w:webHidden/>
              </w:rPr>
              <w:t>13</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32" w:history="1">
            <w:r w:rsidR="005E1214" w:rsidRPr="00816C20">
              <w:rPr>
                <w:rStyle w:val="Hyperlink"/>
                <w:noProof/>
              </w:rPr>
              <w:t>Workforce Summary</w:t>
            </w:r>
            <w:r w:rsidR="005E1214">
              <w:rPr>
                <w:noProof/>
                <w:webHidden/>
              </w:rPr>
              <w:tab/>
            </w:r>
            <w:r w:rsidR="005E1214">
              <w:rPr>
                <w:noProof/>
                <w:webHidden/>
              </w:rPr>
              <w:fldChar w:fldCharType="begin"/>
            </w:r>
            <w:r w:rsidR="005E1214">
              <w:rPr>
                <w:noProof/>
                <w:webHidden/>
              </w:rPr>
              <w:instrText xml:space="preserve"> PAGEREF _Toc395275932 \h </w:instrText>
            </w:r>
            <w:r w:rsidR="005E1214">
              <w:rPr>
                <w:noProof/>
                <w:webHidden/>
              </w:rPr>
            </w:r>
            <w:r w:rsidR="005E1214">
              <w:rPr>
                <w:noProof/>
                <w:webHidden/>
              </w:rPr>
              <w:fldChar w:fldCharType="separate"/>
            </w:r>
            <w:r w:rsidR="005E1214">
              <w:rPr>
                <w:noProof/>
                <w:webHidden/>
              </w:rPr>
              <w:t>15</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33" w:history="1">
            <w:r w:rsidR="005E1214" w:rsidRPr="00816C20">
              <w:rPr>
                <w:rStyle w:val="Hyperlink"/>
                <w:noProof/>
              </w:rPr>
              <w:t>Educational Attainment</w:t>
            </w:r>
            <w:r w:rsidR="005E1214">
              <w:rPr>
                <w:noProof/>
                <w:webHidden/>
              </w:rPr>
              <w:tab/>
            </w:r>
            <w:r w:rsidR="005E1214">
              <w:rPr>
                <w:noProof/>
                <w:webHidden/>
              </w:rPr>
              <w:fldChar w:fldCharType="begin"/>
            </w:r>
            <w:r w:rsidR="005E1214">
              <w:rPr>
                <w:noProof/>
                <w:webHidden/>
              </w:rPr>
              <w:instrText xml:space="preserve"> PAGEREF _Toc395275933 \h </w:instrText>
            </w:r>
            <w:r w:rsidR="005E1214">
              <w:rPr>
                <w:noProof/>
                <w:webHidden/>
              </w:rPr>
            </w:r>
            <w:r w:rsidR="005E1214">
              <w:rPr>
                <w:noProof/>
                <w:webHidden/>
              </w:rPr>
              <w:fldChar w:fldCharType="separate"/>
            </w:r>
            <w:r w:rsidR="005E1214">
              <w:rPr>
                <w:noProof/>
                <w:webHidden/>
              </w:rPr>
              <w:t>16</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34" w:history="1">
            <w:r w:rsidR="005E1214" w:rsidRPr="00816C20">
              <w:rPr>
                <w:rStyle w:val="Hyperlink"/>
                <w:noProof/>
              </w:rPr>
              <w:t>By Grade and Age Group (2012)</w:t>
            </w:r>
            <w:r w:rsidR="005E1214">
              <w:rPr>
                <w:noProof/>
                <w:webHidden/>
              </w:rPr>
              <w:tab/>
            </w:r>
            <w:r w:rsidR="005E1214">
              <w:rPr>
                <w:noProof/>
                <w:webHidden/>
              </w:rPr>
              <w:fldChar w:fldCharType="begin"/>
            </w:r>
            <w:r w:rsidR="005E1214">
              <w:rPr>
                <w:noProof/>
                <w:webHidden/>
              </w:rPr>
              <w:instrText xml:space="preserve"> PAGEREF _Toc395275934 \h </w:instrText>
            </w:r>
            <w:r w:rsidR="005E1214">
              <w:rPr>
                <w:noProof/>
                <w:webHidden/>
              </w:rPr>
            </w:r>
            <w:r w:rsidR="005E1214">
              <w:rPr>
                <w:noProof/>
                <w:webHidden/>
              </w:rPr>
              <w:fldChar w:fldCharType="separate"/>
            </w:r>
            <w:r w:rsidR="005E1214">
              <w:rPr>
                <w:noProof/>
                <w:webHidden/>
              </w:rPr>
              <w:t>17</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35" w:history="1">
            <w:r w:rsidR="005E1214" w:rsidRPr="00816C20">
              <w:rPr>
                <w:rStyle w:val="Hyperlink"/>
                <w:noProof/>
              </w:rPr>
              <w:t>High School Graduates (2013)</w:t>
            </w:r>
            <w:r w:rsidR="005E1214">
              <w:rPr>
                <w:noProof/>
                <w:webHidden/>
              </w:rPr>
              <w:tab/>
            </w:r>
            <w:r w:rsidR="005E1214">
              <w:rPr>
                <w:noProof/>
                <w:webHidden/>
              </w:rPr>
              <w:fldChar w:fldCharType="begin"/>
            </w:r>
            <w:r w:rsidR="005E1214">
              <w:rPr>
                <w:noProof/>
                <w:webHidden/>
              </w:rPr>
              <w:instrText xml:space="preserve"> PAGEREF _Toc395275935 \h </w:instrText>
            </w:r>
            <w:r w:rsidR="005E1214">
              <w:rPr>
                <w:noProof/>
                <w:webHidden/>
              </w:rPr>
            </w:r>
            <w:r w:rsidR="005E1214">
              <w:rPr>
                <w:noProof/>
                <w:webHidden/>
              </w:rPr>
              <w:fldChar w:fldCharType="separate"/>
            </w:r>
            <w:r w:rsidR="005E1214">
              <w:rPr>
                <w:noProof/>
                <w:webHidden/>
              </w:rPr>
              <w:t>17</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36" w:history="1">
            <w:r w:rsidR="005E1214" w:rsidRPr="00816C20">
              <w:rPr>
                <w:rStyle w:val="Hyperlink"/>
                <w:noProof/>
              </w:rPr>
              <w:t>Educational and Workforce Development Resources</w:t>
            </w:r>
            <w:r w:rsidR="005E1214">
              <w:rPr>
                <w:noProof/>
                <w:webHidden/>
              </w:rPr>
              <w:tab/>
            </w:r>
            <w:r w:rsidR="005E1214">
              <w:rPr>
                <w:noProof/>
                <w:webHidden/>
              </w:rPr>
              <w:fldChar w:fldCharType="begin"/>
            </w:r>
            <w:r w:rsidR="005E1214">
              <w:rPr>
                <w:noProof/>
                <w:webHidden/>
              </w:rPr>
              <w:instrText xml:space="preserve"> PAGEREF _Toc395275936 \h </w:instrText>
            </w:r>
            <w:r w:rsidR="005E1214">
              <w:rPr>
                <w:noProof/>
                <w:webHidden/>
              </w:rPr>
            </w:r>
            <w:r w:rsidR="005E1214">
              <w:rPr>
                <w:noProof/>
                <w:webHidden/>
              </w:rPr>
              <w:fldChar w:fldCharType="separate"/>
            </w:r>
            <w:r w:rsidR="005E1214">
              <w:rPr>
                <w:noProof/>
                <w:webHidden/>
              </w:rPr>
              <w:t>18</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37" w:history="1">
            <w:r w:rsidR="005E1214" w:rsidRPr="00816C20">
              <w:rPr>
                <w:rStyle w:val="Hyperlink"/>
                <w:noProof/>
              </w:rPr>
              <w:t>Computer Utilization and Digital Readiness</w:t>
            </w:r>
            <w:r w:rsidR="005E1214">
              <w:rPr>
                <w:noProof/>
                <w:webHidden/>
              </w:rPr>
              <w:tab/>
            </w:r>
            <w:r w:rsidR="005E1214">
              <w:rPr>
                <w:noProof/>
                <w:webHidden/>
              </w:rPr>
              <w:fldChar w:fldCharType="begin"/>
            </w:r>
            <w:r w:rsidR="005E1214">
              <w:rPr>
                <w:noProof/>
                <w:webHidden/>
              </w:rPr>
              <w:instrText xml:space="preserve"> PAGEREF _Toc395275937 \h </w:instrText>
            </w:r>
            <w:r w:rsidR="005E1214">
              <w:rPr>
                <w:noProof/>
                <w:webHidden/>
              </w:rPr>
            </w:r>
            <w:r w:rsidR="005E1214">
              <w:rPr>
                <w:noProof/>
                <w:webHidden/>
              </w:rPr>
              <w:fldChar w:fldCharType="separate"/>
            </w:r>
            <w:r w:rsidR="005E1214">
              <w:rPr>
                <w:noProof/>
                <w:webHidden/>
              </w:rPr>
              <w:t>20</w:t>
            </w:r>
            <w:r w:rsidR="005E1214">
              <w:rPr>
                <w:noProof/>
                <w:webHidden/>
              </w:rPr>
              <w:fldChar w:fldCharType="end"/>
            </w:r>
          </w:hyperlink>
        </w:p>
        <w:p w:rsidR="005E1214" w:rsidRDefault="00481858">
          <w:pPr>
            <w:pStyle w:val="TOC1"/>
            <w:tabs>
              <w:tab w:val="right" w:leader="dot" w:pos="9350"/>
            </w:tabs>
            <w:rPr>
              <w:rFonts w:eastAsiaTheme="minorEastAsia"/>
              <w:noProof/>
            </w:rPr>
          </w:pPr>
          <w:hyperlink w:anchor="_Toc395275938" w:history="1">
            <w:r w:rsidR="005E1214" w:rsidRPr="00816C20">
              <w:rPr>
                <w:rStyle w:val="Hyperlink"/>
                <w:noProof/>
              </w:rPr>
              <w:t>Infrastructure</w:t>
            </w:r>
            <w:r w:rsidR="005E1214">
              <w:rPr>
                <w:noProof/>
                <w:webHidden/>
              </w:rPr>
              <w:tab/>
            </w:r>
            <w:r w:rsidR="005E1214">
              <w:rPr>
                <w:noProof/>
                <w:webHidden/>
              </w:rPr>
              <w:fldChar w:fldCharType="begin"/>
            </w:r>
            <w:r w:rsidR="005E1214">
              <w:rPr>
                <w:noProof/>
                <w:webHidden/>
              </w:rPr>
              <w:instrText xml:space="preserve"> PAGEREF _Toc395275938 \h </w:instrText>
            </w:r>
            <w:r w:rsidR="005E1214">
              <w:rPr>
                <w:noProof/>
                <w:webHidden/>
              </w:rPr>
            </w:r>
            <w:r w:rsidR="005E1214">
              <w:rPr>
                <w:noProof/>
                <w:webHidden/>
              </w:rPr>
              <w:fldChar w:fldCharType="separate"/>
            </w:r>
            <w:r w:rsidR="005E1214">
              <w:rPr>
                <w:noProof/>
                <w:webHidden/>
              </w:rPr>
              <w:t>25</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39" w:history="1">
            <w:r w:rsidR="005E1214" w:rsidRPr="00816C20">
              <w:rPr>
                <w:rStyle w:val="Hyperlink"/>
                <w:noProof/>
              </w:rPr>
              <w:t>Broadband Service Providers</w:t>
            </w:r>
            <w:r w:rsidR="005E1214">
              <w:rPr>
                <w:noProof/>
                <w:webHidden/>
              </w:rPr>
              <w:tab/>
            </w:r>
            <w:r w:rsidR="005E1214">
              <w:rPr>
                <w:noProof/>
                <w:webHidden/>
              </w:rPr>
              <w:fldChar w:fldCharType="begin"/>
            </w:r>
            <w:r w:rsidR="005E1214">
              <w:rPr>
                <w:noProof/>
                <w:webHidden/>
              </w:rPr>
              <w:instrText xml:space="preserve"> PAGEREF _Toc395275939 \h </w:instrText>
            </w:r>
            <w:r w:rsidR="005E1214">
              <w:rPr>
                <w:noProof/>
                <w:webHidden/>
              </w:rPr>
            </w:r>
            <w:r w:rsidR="005E1214">
              <w:rPr>
                <w:noProof/>
                <w:webHidden/>
              </w:rPr>
              <w:fldChar w:fldCharType="separate"/>
            </w:r>
            <w:r w:rsidR="005E1214">
              <w:rPr>
                <w:noProof/>
                <w:webHidden/>
              </w:rPr>
              <w:t>25</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40" w:history="1">
            <w:r w:rsidR="005E1214" w:rsidRPr="00816C20">
              <w:rPr>
                <w:rStyle w:val="Hyperlink"/>
                <w:noProof/>
              </w:rPr>
              <w:t>Key Broadband Strengths</w:t>
            </w:r>
            <w:r w:rsidR="005E1214">
              <w:rPr>
                <w:noProof/>
                <w:webHidden/>
              </w:rPr>
              <w:tab/>
            </w:r>
            <w:r w:rsidR="005E1214">
              <w:rPr>
                <w:noProof/>
                <w:webHidden/>
              </w:rPr>
              <w:fldChar w:fldCharType="begin"/>
            </w:r>
            <w:r w:rsidR="005E1214">
              <w:rPr>
                <w:noProof/>
                <w:webHidden/>
              </w:rPr>
              <w:instrText xml:space="preserve"> PAGEREF _Toc395275940 \h </w:instrText>
            </w:r>
            <w:r w:rsidR="005E1214">
              <w:rPr>
                <w:noProof/>
                <w:webHidden/>
              </w:rPr>
            </w:r>
            <w:r w:rsidR="005E1214">
              <w:rPr>
                <w:noProof/>
                <w:webHidden/>
              </w:rPr>
              <w:fldChar w:fldCharType="separate"/>
            </w:r>
            <w:r w:rsidR="005E1214">
              <w:rPr>
                <w:noProof/>
                <w:webHidden/>
              </w:rPr>
              <w:t>26</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41" w:history="1">
            <w:r w:rsidR="005E1214" w:rsidRPr="00816C20">
              <w:rPr>
                <w:rStyle w:val="Hyperlink"/>
                <w:noProof/>
              </w:rPr>
              <w:t>Areas in Need</w:t>
            </w:r>
            <w:r w:rsidR="005E1214">
              <w:rPr>
                <w:noProof/>
                <w:webHidden/>
              </w:rPr>
              <w:tab/>
            </w:r>
            <w:r w:rsidR="005E1214">
              <w:rPr>
                <w:noProof/>
                <w:webHidden/>
              </w:rPr>
              <w:fldChar w:fldCharType="begin"/>
            </w:r>
            <w:r w:rsidR="005E1214">
              <w:rPr>
                <w:noProof/>
                <w:webHidden/>
              </w:rPr>
              <w:instrText xml:space="preserve"> PAGEREF _Toc395275941 \h </w:instrText>
            </w:r>
            <w:r w:rsidR="005E1214">
              <w:rPr>
                <w:noProof/>
                <w:webHidden/>
              </w:rPr>
            </w:r>
            <w:r w:rsidR="005E1214">
              <w:rPr>
                <w:noProof/>
                <w:webHidden/>
              </w:rPr>
              <w:fldChar w:fldCharType="separate"/>
            </w:r>
            <w:r w:rsidR="005E1214">
              <w:rPr>
                <w:noProof/>
                <w:webHidden/>
              </w:rPr>
              <w:t>27</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42" w:history="1">
            <w:r w:rsidR="005E1214" w:rsidRPr="00816C20">
              <w:rPr>
                <w:rStyle w:val="Hyperlink"/>
                <w:noProof/>
              </w:rPr>
              <w:t>Key Broadband Weaknesses</w:t>
            </w:r>
            <w:r w:rsidR="005E1214">
              <w:rPr>
                <w:noProof/>
                <w:webHidden/>
              </w:rPr>
              <w:tab/>
            </w:r>
            <w:r w:rsidR="005E1214">
              <w:rPr>
                <w:noProof/>
                <w:webHidden/>
              </w:rPr>
              <w:fldChar w:fldCharType="begin"/>
            </w:r>
            <w:r w:rsidR="005E1214">
              <w:rPr>
                <w:noProof/>
                <w:webHidden/>
              </w:rPr>
              <w:instrText xml:space="preserve"> PAGEREF _Toc395275942 \h </w:instrText>
            </w:r>
            <w:r w:rsidR="005E1214">
              <w:rPr>
                <w:noProof/>
                <w:webHidden/>
              </w:rPr>
            </w:r>
            <w:r w:rsidR="005E1214">
              <w:rPr>
                <w:noProof/>
                <w:webHidden/>
              </w:rPr>
              <w:fldChar w:fldCharType="separate"/>
            </w:r>
            <w:r w:rsidR="005E1214">
              <w:rPr>
                <w:noProof/>
                <w:webHidden/>
              </w:rPr>
              <w:t>30</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43" w:history="1">
            <w:r w:rsidR="005E1214" w:rsidRPr="00816C20">
              <w:rPr>
                <w:rStyle w:val="Hyperlink"/>
                <w:noProof/>
              </w:rPr>
              <w:t>Potential Partners for Infrastructure</w:t>
            </w:r>
            <w:r w:rsidR="005E1214">
              <w:rPr>
                <w:noProof/>
                <w:webHidden/>
              </w:rPr>
              <w:tab/>
            </w:r>
            <w:r w:rsidR="005E1214">
              <w:rPr>
                <w:noProof/>
                <w:webHidden/>
              </w:rPr>
              <w:fldChar w:fldCharType="begin"/>
            </w:r>
            <w:r w:rsidR="005E1214">
              <w:rPr>
                <w:noProof/>
                <w:webHidden/>
              </w:rPr>
              <w:instrText xml:space="preserve"> PAGEREF _Toc395275943 \h </w:instrText>
            </w:r>
            <w:r w:rsidR="005E1214">
              <w:rPr>
                <w:noProof/>
                <w:webHidden/>
              </w:rPr>
            </w:r>
            <w:r w:rsidR="005E1214">
              <w:rPr>
                <w:noProof/>
                <w:webHidden/>
              </w:rPr>
              <w:fldChar w:fldCharType="separate"/>
            </w:r>
            <w:r w:rsidR="005E1214">
              <w:rPr>
                <w:noProof/>
                <w:webHidden/>
              </w:rPr>
              <w:t>31</w:t>
            </w:r>
            <w:r w:rsidR="005E1214">
              <w:rPr>
                <w:noProof/>
                <w:webHidden/>
              </w:rPr>
              <w:fldChar w:fldCharType="end"/>
            </w:r>
          </w:hyperlink>
        </w:p>
        <w:p w:rsidR="005E1214" w:rsidRDefault="00481858">
          <w:pPr>
            <w:pStyle w:val="TOC1"/>
            <w:tabs>
              <w:tab w:val="right" w:leader="dot" w:pos="9350"/>
            </w:tabs>
            <w:rPr>
              <w:rFonts w:eastAsiaTheme="minorEastAsia"/>
              <w:noProof/>
            </w:rPr>
          </w:pPr>
          <w:hyperlink w:anchor="_Toc395275944" w:history="1">
            <w:r w:rsidR="005E1214" w:rsidRPr="00816C20">
              <w:rPr>
                <w:rStyle w:val="Hyperlink"/>
                <w:noProof/>
              </w:rPr>
              <w:t>Capital</w:t>
            </w:r>
            <w:r w:rsidR="005E1214">
              <w:rPr>
                <w:noProof/>
                <w:webHidden/>
              </w:rPr>
              <w:tab/>
            </w:r>
            <w:r w:rsidR="005E1214">
              <w:rPr>
                <w:noProof/>
                <w:webHidden/>
              </w:rPr>
              <w:fldChar w:fldCharType="begin"/>
            </w:r>
            <w:r w:rsidR="005E1214">
              <w:rPr>
                <w:noProof/>
                <w:webHidden/>
              </w:rPr>
              <w:instrText xml:space="preserve"> PAGEREF _Toc395275944 \h </w:instrText>
            </w:r>
            <w:r w:rsidR="005E1214">
              <w:rPr>
                <w:noProof/>
                <w:webHidden/>
              </w:rPr>
            </w:r>
            <w:r w:rsidR="005E1214">
              <w:rPr>
                <w:noProof/>
                <w:webHidden/>
              </w:rPr>
              <w:fldChar w:fldCharType="separate"/>
            </w:r>
            <w:r w:rsidR="005E1214">
              <w:rPr>
                <w:noProof/>
                <w:webHidden/>
              </w:rPr>
              <w:t>32</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45" w:history="1">
            <w:r w:rsidR="005E1214" w:rsidRPr="00816C20">
              <w:rPr>
                <w:rStyle w:val="Hyperlink"/>
                <w:noProof/>
              </w:rPr>
              <w:t>Technology-Related Venture Capital Investments</w:t>
            </w:r>
            <w:r w:rsidR="005E1214">
              <w:rPr>
                <w:noProof/>
                <w:webHidden/>
              </w:rPr>
              <w:tab/>
            </w:r>
            <w:r w:rsidR="005E1214">
              <w:rPr>
                <w:noProof/>
                <w:webHidden/>
              </w:rPr>
              <w:fldChar w:fldCharType="begin"/>
            </w:r>
            <w:r w:rsidR="005E1214">
              <w:rPr>
                <w:noProof/>
                <w:webHidden/>
              </w:rPr>
              <w:instrText xml:space="preserve"> PAGEREF _Toc395275945 \h </w:instrText>
            </w:r>
            <w:r w:rsidR="005E1214">
              <w:rPr>
                <w:noProof/>
                <w:webHidden/>
              </w:rPr>
            </w:r>
            <w:r w:rsidR="005E1214">
              <w:rPr>
                <w:noProof/>
                <w:webHidden/>
              </w:rPr>
              <w:fldChar w:fldCharType="separate"/>
            </w:r>
            <w:r w:rsidR="005E1214">
              <w:rPr>
                <w:noProof/>
                <w:webHidden/>
              </w:rPr>
              <w:t>32</w:t>
            </w:r>
            <w:r w:rsidR="005E1214">
              <w:rPr>
                <w:noProof/>
                <w:webHidden/>
              </w:rPr>
              <w:fldChar w:fldCharType="end"/>
            </w:r>
          </w:hyperlink>
        </w:p>
        <w:p w:rsidR="005E1214" w:rsidRDefault="00481858">
          <w:pPr>
            <w:pStyle w:val="TOC2"/>
            <w:tabs>
              <w:tab w:val="right" w:leader="dot" w:pos="9350"/>
            </w:tabs>
            <w:rPr>
              <w:rFonts w:eastAsiaTheme="minorEastAsia"/>
              <w:noProof/>
            </w:rPr>
          </w:pPr>
          <w:hyperlink w:anchor="_Toc395275946" w:history="1">
            <w:r w:rsidR="005E1214" w:rsidRPr="00816C20">
              <w:rPr>
                <w:rStyle w:val="Hyperlink"/>
                <w:noProof/>
              </w:rPr>
              <w:t>Funding Sources</w:t>
            </w:r>
            <w:r w:rsidR="005E1214">
              <w:rPr>
                <w:noProof/>
                <w:webHidden/>
              </w:rPr>
              <w:tab/>
            </w:r>
            <w:r w:rsidR="005E1214">
              <w:rPr>
                <w:noProof/>
                <w:webHidden/>
              </w:rPr>
              <w:fldChar w:fldCharType="begin"/>
            </w:r>
            <w:r w:rsidR="005E1214">
              <w:rPr>
                <w:noProof/>
                <w:webHidden/>
              </w:rPr>
              <w:instrText xml:space="preserve"> PAGEREF _Toc395275946 \h </w:instrText>
            </w:r>
            <w:r w:rsidR="005E1214">
              <w:rPr>
                <w:noProof/>
                <w:webHidden/>
              </w:rPr>
            </w:r>
            <w:r w:rsidR="005E1214">
              <w:rPr>
                <w:noProof/>
                <w:webHidden/>
              </w:rPr>
              <w:fldChar w:fldCharType="separate"/>
            </w:r>
            <w:r w:rsidR="005E1214">
              <w:rPr>
                <w:noProof/>
                <w:webHidden/>
              </w:rPr>
              <w:t>34</w:t>
            </w:r>
            <w:r w:rsidR="005E1214">
              <w:rPr>
                <w:noProof/>
                <w:webHidden/>
              </w:rPr>
              <w:fldChar w:fldCharType="end"/>
            </w:r>
          </w:hyperlink>
        </w:p>
        <w:p w:rsidR="005E1214" w:rsidRDefault="00481858">
          <w:pPr>
            <w:pStyle w:val="TOC1"/>
            <w:tabs>
              <w:tab w:val="right" w:leader="dot" w:pos="9350"/>
            </w:tabs>
            <w:rPr>
              <w:rFonts w:eastAsiaTheme="minorEastAsia"/>
              <w:noProof/>
            </w:rPr>
          </w:pPr>
          <w:hyperlink w:anchor="_Toc395275947" w:history="1">
            <w:r w:rsidR="005E1214" w:rsidRPr="00816C20">
              <w:rPr>
                <w:rStyle w:val="Hyperlink"/>
                <w:noProof/>
              </w:rPr>
              <w:t>Current Project Highlights</w:t>
            </w:r>
            <w:r w:rsidR="005E1214">
              <w:rPr>
                <w:noProof/>
                <w:webHidden/>
              </w:rPr>
              <w:tab/>
            </w:r>
            <w:r w:rsidR="005E1214">
              <w:rPr>
                <w:noProof/>
                <w:webHidden/>
              </w:rPr>
              <w:fldChar w:fldCharType="begin"/>
            </w:r>
            <w:r w:rsidR="005E1214">
              <w:rPr>
                <w:noProof/>
                <w:webHidden/>
              </w:rPr>
              <w:instrText xml:space="preserve"> PAGEREF _Toc395275947 \h </w:instrText>
            </w:r>
            <w:r w:rsidR="005E1214">
              <w:rPr>
                <w:noProof/>
                <w:webHidden/>
              </w:rPr>
            </w:r>
            <w:r w:rsidR="005E1214">
              <w:rPr>
                <w:noProof/>
                <w:webHidden/>
              </w:rPr>
              <w:fldChar w:fldCharType="separate"/>
            </w:r>
            <w:r w:rsidR="005E1214">
              <w:rPr>
                <w:noProof/>
                <w:webHidden/>
              </w:rPr>
              <w:t>36</w:t>
            </w:r>
            <w:r w:rsidR="005E1214">
              <w:rPr>
                <w:noProof/>
                <w:webHidden/>
              </w:rPr>
              <w:fldChar w:fldCharType="end"/>
            </w:r>
          </w:hyperlink>
        </w:p>
        <w:p w:rsidR="005E1214" w:rsidRDefault="00481858">
          <w:pPr>
            <w:pStyle w:val="TOC1"/>
            <w:tabs>
              <w:tab w:val="right" w:leader="dot" w:pos="9350"/>
            </w:tabs>
            <w:rPr>
              <w:rFonts w:eastAsiaTheme="minorEastAsia"/>
              <w:noProof/>
            </w:rPr>
          </w:pPr>
          <w:hyperlink w:anchor="_Toc395275948" w:history="1">
            <w:r w:rsidR="005E1214" w:rsidRPr="00816C20">
              <w:rPr>
                <w:rStyle w:val="Hyperlink"/>
                <w:noProof/>
              </w:rPr>
              <w:t>SWOC</w:t>
            </w:r>
            <w:r w:rsidR="005E1214">
              <w:rPr>
                <w:noProof/>
                <w:webHidden/>
              </w:rPr>
              <w:tab/>
            </w:r>
            <w:r w:rsidR="005E1214">
              <w:rPr>
                <w:noProof/>
                <w:webHidden/>
              </w:rPr>
              <w:fldChar w:fldCharType="begin"/>
            </w:r>
            <w:r w:rsidR="005E1214">
              <w:rPr>
                <w:noProof/>
                <w:webHidden/>
              </w:rPr>
              <w:instrText xml:space="preserve"> PAGEREF _Toc395275948 \h </w:instrText>
            </w:r>
            <w:r w:rsidR="005E1214">
              <w:rPr>
                <w:noProof/>
                <w:webHidden/>
              </w:rPr>
            </w:r>
            <w:r w:rsidR="005E1214">
              <w:rPr>
                <w:noProof/>
                <w:webHidden/>
              </w:rPr>
              <w:fldChar w:fldCharType="separate"/>
            </w:r>
            <w:r w:rsidR="005E1214">
              <w:rPr>
                <w:noProof/>
                <w:webHidden/>
              </w:rPr>
              <w:t>39</w:t>
            </w:r>
            <w:r w:rsidR="005E1214">
              <w:rPr>
                <w:noProof/>
                <w:webHidden/>
              </w:rPr>
              <w:fldChar w:fldCharType="end"/>
            </w:r>
          </w:hyperlink>
        </w:p>
        <w:p w:rsidR="005E1214" w:rsidRDefault="00481858">
          <w:pPr>
            <w:pStyle w:val="TOC1"/>
            <w:tabs>
              <w:tab w:val="right" w:leader="dot" w:pos="9350"/>
            </w:tabs>
            <w:rPr>
              <w:rFonts w:eastAsiaTheme="minorEastAsia"/>
              <w:noProof/>
            </w:rPr>
          </w:pPr>
          <w:hyperlink w:anchor="_Toc395275949" w:history="1">
            <w:r w:rsidR="005E1214" w:rsidRPr="00816C20">
              <w:rPr>
                <w:rStyle w:val="Hyperlink"/>
                <w:noProof/>
              </w:rPr>
              <w:t>Strategic Focus Areas</w:t>
            </w:r>
            <w:r w:rsidR="005E1214">
              <w:rPr>
                <w:noProof/>
                <w:webHidden/>
              </w:rPr>
              <w:tab/>
            </w:r>
            <w:r w:rsidR="005E1214">
              <w:rPr>
                <w:noProof/>
                <w:webHidden/>
              </w:rPr>
              <w:fldChar w:fldCharType="begin"/>
            </w:r>
            <w:r w:rsidR="005E1214">
              <w:rPr>
                <w:noProof/>
                <w:webHidden/>
              </w:rPr>
              <w:instrText xml:space="preserve"> PAGEREF _Toc395275949 \h </w:instrText>
            </w:r>
            <w:r w:rsidR="005E1214">
              <w:rPr>
                <w:noProof/>
                <w:webHidden/>
              </w:rPr>
            </w:r>
            <w:r w:rsidR="005E1214">
              <w:rPr>
                <w:noProof/>
                <w:webHidden/>
              </w:rPr>
              <w:fldChar w:fldCharType="separate"/>
            </w:r>
            <w:r w:rsidR="005E1214">
              <w:rPr>
                <w:noProof/>
                <w:webHidden/>
              </w:rPr>
              <w:t>41</w:t>
            </w:r>
            <w:r w:rsidR="005E1214">
              <w:rPr>
                <w:noProof/>
                <w:webHidden/>
              </w:rPr>
              <w:fldChar w:fldCharType="end"/>
            </w:r>
          </w:hyperlink>
        </w:p>
        <w:p w:rsidR="000155BE" w:rsidRDefault="000155BE">
          <w:r>
            <w:rPr>
              <w:b/>
              <w:bCs/>
              <w:noProof/>
            </w:rPr>
            <w:fldChar w:fldCharType="end"/>
          </w:r>
        </w:p>
      </w:sdtContent>
    </w:sdt>
    <w:p w:rsidR="000155BE" w:rsidRDefault="000155BE" w:rsidP="0002467F">
      <w:pPr>
        <w:spacing w:line="240" w:lineRule="auto"/>
        <w:jc w:val="both"/>
        <w:rPr>
          <w:rFonts w:cstheme="minorHAnsi"/>
          <w:b/>
          <w:sz w:val="24"/>
          <w:szCs w:val="24"/>
        </w:rPr>
      </w:pPr>
    </w:p>
    <w:p w:rsidR="001B43BE" w:rsidRDefault="001B43BE">
      <w:pPr>
        <w:sectPr w:rsidR="001B43BE" w:rsidSect="0041586B">
          <w:headerReference w:type="even" r:id="rId10"/>
          <w:headerReference w:type="default" r:id="rId11"/>
          <w:headerReference w:type="first" r:id="rId12"/>
          <w:pgSz w:w="12240" w:h="15840"/>
          <w:pgMar w:top="1440" w:right="1440" w:bottom="1440" w:left="1440" w:header="720" w:footer="720" w:gutter="0"/>
          <w:pgNumType w:start="1"/>
          <w:cols w:space="720"/>
          <w:docGrid w:linePitch="360"/>
        </w:sectPr>
      </w:pPr>
    </w:p>
    <w:p w:rsidR="00B93850" w:rsidRPr="0002467F" w:rsidRDefault="00AA4A30" w:rsidP="00F018BC">
      <w:pPr>
        <w:pStyle w:val="Heading1"/>
      </w:pPr>
      <w:bookmarkStart w:id="0" w:name="_Toc395275919"/>
      <w:r w:rsidRPr="0002467F">
        <w:lastRenderedPageBreak/>
        <w:t>Executive Summary</w:t>
      </w:r>
      <w:bookmarkEnd w:id="0"/>
    </w:p>
    <w:p w:rsidR="00AA4A30" w:rsidRPr="005F7DA5" w:rsidRDefault="00AA4A30" w:rsidP="002912DA">
      <w:pPr>
        <w:spacing w:line="240" w:lineRule="auto"/>
        <w:jc w:val="both"/>
        <w:rPr>
          <w:rFonts w:cstheme="minorHAnsi"/>
          <w:sz w:val="24"/>
          <w:szCs w:val="24"/>
        </w:rPr>
      </w:pPr>
      <w:r w:rsidRPr="005F7DA5">
        <w:rPr>
          <w:rFonts w:cstheme="minorHAnsi"/>
          <w:sz w:val="24"/>
          <w:szCs w:val="24"/>
        </w:rPr>
        <w:t>Under the American Recovery &amp; Reinvestment Act (ARRA), the Georgia Technology Authority</w:t>
      </w:r>
      <w:r w:rsidR="00DE75DB" w:rsidRPr="005F7DA5">
        <w:rPr>
          <w:rFonts w:cstheme="minorHAnsi"/>
          <w:sz w:val="24"/>
          <w:szCs w:val="24"/>
        </w:rPr>
        <w:t xml:space="preserve"> (GTA)</w:t>
      </w:r>
      <w:r w:rsidRPr="005F7DA5">
        <w:rPr>
          <w:rFonts w:cstheme="minorHAnsi"/>
          <w:sz w:val="24"/>
          <w:szCs w:val="24"/>
        </w:rPr>
        <w:t xml:space="preserve"> received $5.2 million to facilitate a State Broadband Initiative through December 2014. A portion of these funds was set aside for the development of Regional Digital Economy Plans with Georgia's Regional Commissions.</w:t>
      </w:r>
    </w:p>
    <w:p w:rsidR="00DE75DB" w:rsidRPr="005F7DA5" w:rsidRDefault="00DE75DB" w:rsidP="002912DA">
      <w:pPr>
        <w:spacing w:line="240" w:lineRule="auto"/>
        <w:jc w:val="both"/>
        <w:rPr>
          <w:rFonts w:cstheme="minorHAnsi"/>
          <w:sz w:val="24"/>
          <w:szCs w:val="24"/>
        </w:rPr>
      </w:pPr>
      <w:r w:rsidRPr="005F7DA5">
        <w:rPr>
          <w:rFonts w:cstheme="minorHAnsi"/>
          <w:sz w:val="24"/>
          <w:szCs w:val="24"/>
        </w:rPr>
        <w:t>The Northeast Georgia Regional Commission (NEGRC) is governed by a Council representing t</w:t>
      </w:r>
      <w:r w:rsidR="00AF41BC" w:rsidRPr="005F7DA5">
        <w:rPr>
          <w:rFonts w:cstheme="minorHAnsi"/>
          <w:sz w:val="24"/>
          <w:szCs w:val="24"/>
        </w:rPr>
        <w:t>he 12 counties within its 3,260-square-</w:t>
      </w:r>
      <w:r w:rsidRPr="005F7DA5">
        <w:rPr>
          <w:rFonts w:cstheme="minorHAnsi"/>
          <w:sz w:val="24"/>
          <w:szCs w:val="24"/>
        </w:rPr>
        <w:t>mile service area. The NEGRC Planning &amp; Government Services Division led the digital economy planning process with input from the Workforce Development and Aging divisions.</w:t>
      </w:r>
    </w:p>
    <w:p w:rsidR="00AA4A30" w:rsidRPr="005F7DA5" w:rsidRDefault="00AA4A30" w:rsidP="002912DA">
      <w:pPr>
        <w:spacing w:line="240" w:lineRule="auto"/>
        <w:jc w:val="both"/>
        <w:rPr>
          <w:rFonts w:cstheme="minorHAnsi"/>
          <w:sz w:val="24"/>
          <w:szCs w:val="24"/>
        </w:rPr>
      </w:pPr>
      <w:r w:rsidRPr="005F7DA5">
        <w:rPr>
          <w:rFonts w:cstheme="minorHAnsi"/>
          <w:sz w:val="24"/>
          <w:szCs w:val="24"/>
        </w:rPr>
        <w:t>The purpose of the Northeast Georgia Digital Economy Plan is to document the resources and unmet needs of digital assets, broadband infrastructure, services, and</w:t>
      </w:r>
      <w:r w:rsidR="00DE75DB" w:rsidRPr="005F7DA5">
        <w:rPr>
          <w:rFonts w:cstheme="minorHAnsi"/>
          <w:sz w:val="24"/>
          <w:szCs w:val="24"/>
        </w:rPr>
        <w:t xml:space="preserve"> related technology utilization</w:t>
      </w:r>
      <w:r w:rsidRPr="005F7DA5">
        <w:rPr>
          <w:rFonts w:cstheme="minorHAnsi"/>
          <w:sz w:val="24"/>
          <w:szCs w:val="24"/>
        </w:rPr>
        <w:t xml:space="preserve"> and present stra</w:t>
      </w:r>
      <w:r w:rsidR="00863E24">
        <w:rPr>
          <w:rFonts w:cstheme="minorHAnsi"/>
          <w:sz w:val="24"/>
          <w:szCs w:val="24"/>
        </w:rPr>
        <w:t xml:space="preserve">tegies to fill identified gaps. Plan updates were provided regularly through a dedicated page under the Planning &amp; Government Services Division tab on the NEGRC website at </w:t>
      </w:r>
      <w:hyperlink r:id="rId13" w:history="1">
        <w:r w:rsidR="008D7923" w:rsidRPr="00DD2D5B">
          <w:rPr>
            <w:rStyle w:val="Hyperlink"/>
            <w:rFonts w:cstheme="minorHAnsi"/>
            <w:sz w:val="24"/>
            <w:szCs w:val="24"/>
          </w:rPr>
          <w:t>http://www.negrc.org/resource-1.php?page_ID=1406229947</w:t>
        </w:r>
      </w:hyperlink>
      <w:r w:rsidR="008D7923">
        <w:rPr>
          <w:rFonts w:cstheme="minorHAnsi"/>
          <w:sz w:val="24"/>
          <w:szCs w:val="24"/>
        </w:rPr>
        <w:t xml:space="preserve">. </w:t>
      </w:r>
    </w:p>
    <w:p w:rsidR="00DE75DB" w:rsidRPr="005F7DA5" w:rsidRDefault="00DE75DB" w:rsidP="002912DA">
      <w:pPr>
        <w:spacing w:line="240" w:lineRule="auto"/>
        <w:jc w:val="both"/>
        <w:rPr>
          <w:rFonts w:cstheme="minorHAnsi"/>
          <w:sz w:val="24"/>
          <w:szCs w:val="24"/>
        </w:rPr>
      </w:pPr>
      <w:r w:rsidRPr="005F7DA5">
        <w:rPr>
          <w:rFonts w:cstheme="minorHAnsi"/>
          <w:sz w:val="24"/>
          <w:szCs w:val="24"/>
        </w:rPr>
        <w:t>The planning process consisted of three primary components:</w:t>
      </w:r>
    </w:p>
    <w:p w:rsidR="00340591" w:rsidRPr="00340591" w:rsidRDefault="00DE75DB" w:rsidP="00340591">
      <w:pPr>
        <w:spacing w:after="0" w:line="240" w:lineRule="auto"/>
        <w:jc w:val="both"/>
        <w:rPr>
          <w:rFonts w:cstheme="minorHAnsi"/>
          <w:b/>
          <w:sz w:val="24"/>
          <w:szCs w:val="24"/>
        </w:rPr>
      </w:pPr>
      <w:r w:rsidRPr="00340591">
        <w:rPr>
          <w:rFonts w:cstheme="minorHAnsi"/>
          <w:b/>
          <w:sz w:val="24"/>
          <w:szCs w:val="24"/>
        </w:rPr>
        <w:t>Data Collection &amp; Analysis</w:t>
      </w:r>
    </w:p>
    <w:p w:rsidR="00DE75DB" w:rsidRDefault="000453DC" w:rsidP="00340591">
      <w:pPr>
        <w:spacing w:after="0" w:line="240" w:lineRule="auto"/>
        <w:jc w:val="both"/>
        <w:rPr>
          <w:rFonts w:cstheme="minorHAnsi"/>
          <w:sz w:val="24"/>
          <w:szCs w:val="24"/>
        </w:rPr>
      </w:pPr>
      <w:r w:rsidRPr="005F7DA5">
        <w:rPr>
          <w:rFonts w:cstheme="minorHAnsi"/>
          <w:sz w:val="24"/>
          <w:szCs w:val="24"/>
        </w:rPr>
        <w:t xml:space="preserve">NEGRC compiled data derived from GTA, </w:t>
      </w:r>
      <w:r w:rsidR="00DE75DB" w:rsidRPr="005F7DA5">
        <w:rPr>
          <w:rFonts w:cstheme="minorHAnsi"/>
          <w:sz w:val="24"/>
          <w:szCs w:val="24"/>
        </w:rPr>
        <w:t>existing regional planning documents</w:t>
      </w:r>
      <w:r w:rsidRPr="005F7DA5">
        <w:rPr>
          <w:rFonts w:cstheme="minorHAnsi"/>
          <w:sz w:val="24"/>
          <w:szCs w:val="24"/>
        </w:rPr>
        <w:t xml:space="preserve"> (updated for this planning process),</w:t>
      </w:r>
      <w:r w:rsidR="00DE75DB" w:rsidRPr="005F7DA5">
        <w:rPr>
          <w:rFonts w:cstheme="minorHAnsi"/>
          <w:sz w:val="24"/>
          <w:szCs w:val="24"/>
        </w:rPr>
        <w:t xml:space="preserve"> and </w:t>
      </w:r>
      <w:r w:rsidRPr="005F7DA5">
        <w:rPr>
          <w:rFonts w:cstheme="minorHAnsi"/>
          <w:sz w:val="24"/>
          <w:szCs w:val="24"/>
        </w:rPr>
        <w:t>other resources to help identify quantifiable and empirical strengths, weaknesses, opportunities, and challenges to a vibrant regional digital economy. Included in this effort were periodic updates to Community Anchor Institution (CAI) information within the 12-county area.</w:t>
      </w:r>
    </w:p>
    <w:p w:rsidR="00340591" w:rsidRPr="005F7DA5" w:rsidRDefault="00340591" w:rsidP="00340591">
      <w:pPr>
        <w:spacing w:after="0" w:line="240" w:lineRule="auto"/>
        <w:jc w:val="both"/>
        <w:rPr>
          <w:rFonts w:cstheme="minorHAnsi"/>
          <w:sz w:val="24"/>
          <w:szCs w:val="24"/>
        </w:rPr>
      </w:pPr>
    </w:p>
    <w:p w:rsidR="000453DC" w:rsidRPr="00340591" w:rsidRDefault="000453DC" w:rsidP="00340591">
      <w:pPr>
        <w:spacing w:after="0" w:line="240" w:lineRule="auto"/>
        <w:jc w:val="both"/>
        <w:rPr>
          <w:rFonts w:cstheme="minorHAnsi"/>
          <w:b/>
          <w:sz w:val="24"/>
          <w:szCs w:val="24"/>
        </w:rPr>
      </w:pPr>
      <w:r w:rsidRPr="00340591">
        <w:rPr>
          <w:rFonts w:cstheme="minorHAnsi"/>
          <w:b/>
          <w:sz w:val="24"/>
          <w:szCs w:val="24"/>
        </w:rPr>
        <w:t>Stakeholder Engagement</w:t>
      </w:r>
    </w:p>
    <w:p w:rsidR="00AA4A30" w:rsidRDefault="00AA4A30" w:rsidP="00340591">
      <w:pPr>
        <w:spacing w:after="0" w:line="240" w:lineRule="auto"/>
        <w:jc w:val="both"/>
        <w:rPr>
          <w:rFonts w:cstheme="minorHAnsi"/>
          <w:sz w:val="24"/>
          <w:szCs w:val="24"/>
        </w:rPr>
      </w:pPr>
      <w:r w:rsidRPr="005F7DA5">
        <w:rPr>
          <w:rFonts w:cstheme="minorHAnsi"/>
          <w:sz w:val="24"/>
          <w:szCs w:val="24"/>
        </w:rPr>
        <w:t xml:space="preserve">Digital technology application was evaluated </w:t>
      </w:r>
      <w:r w:rsidR="00DE75DB" w:rsidRPr="005F7DA5">
        <w:rPr>
          <w:rFonts w:cstheme="minorHAnsi"/>
          <w:sz w:val="24"/>
          <w:szCs w:val="24"/>
        </w:rPr>
        <w:t>through a stakeholder engagement process with agencies and organizations</w:t>
      </w:r>
      <w:r w:rsidRPr="005F7DA5">
        <w:rPr>
          <w:rFonts w:cstheme="minorHAnsi"/>
          <w:sz w:val="24"/>
          <w:szCs w:val="24"/>
        </w:rPr>
        <w:t xml:space="preserve"> </w:t>
      </w:r>
      <w:r w:rsidR="00DE75DB" w:rsidRPr="005F7DA5">
        <w:rPr>
          <w:rFonts w:cstheme="minorHAnsi"/>
          <w:sz w:val="24"/>
          <w:szCs w:val="24"/>
        </w:rPr>
        <w:t xml:space="preserve">working within </w:t>
      </w:r>
      <w:r w:rsidRPr="005F7DA5">
        <w:rPr>
          <w:rFonts w:cstheme="minorHAnsi"/>
          <w:sz w:val="24"/>
          <w:szCs w:val="24"/>
        </w:rPr>
        <w:t xml:space="preserve">the four State priority areas: Economic Development, Education, </w:t>
      </w:r>
      <w:r w:rsidR="00DE75DB" w:rsidRPr="005F7DA5">
        <w:rPr>
          <w:rFonts w:cstheme="minorHAnsi"/>
          <w:sz w:val="24"/>
          <w:szCs w:val="24"/>
        </w:rPr>
        <w:t>Public Safety, and Healthcare.</w:t>
      </w:r>
      <w:r w:rsidR="000453DC" w:rsidRPr="005F7DA5">
        <w:rPr>
          <w:rFonts w:cstheme="minorHAnsi"/>
          <w:sz w:val="24"/>
          <w:szCs w:val="24"/>
        </w:rPr>
        <w:t xml:space="preserve"> NEGRC utilized several methods to obtain input from stakeholders. This process included the dissemination of web-based questionnaires for residents and businesses, presentations to regional groups, meetings with individuals, and email communications.</w:t>
      </w:r>
    </w:p>
    <w:p w:rsidR="00340591" w:rsidRPr="005F7DA5" w:rsidRDefault="00340591" w:rsidP="00340591">
      <w:pPr>
        <w:spacing w:after="0" w:line="240" w:lineRule="auto"/>
        <w:jc w:val="both"/>
        <w:rPr>
          <w:rFonts w:cstheme="minorHAnsi"/>
          <w:sz w:val="24"/>
          <w:szCs w:val="24"/>
        </w:rPr>
      </w:pPr>
    </w:p>
    <w:p w:rsidR="00176532" w:rsidRDefault="000453DC" w:rsidP="00176532">
      <w:pPr>
        <w:spacing w:after="0" w:line="240" w:lineRule="auto"/>
        <w:jc w:val="both"/>
        <w:rPr>
          <w:rFonts w:cstheme="minorHAnsi"/>
          <w:b/>
          <w:sz w:val="24"/>
          <w:szCs w:val="24"/>
        </w:rPr>
      </w:pPr>
      <w:r w:rsidRPr="00340591">
        <w:rPr>
          <w:rFonts w:cstheme="minorHAnsi"/>
          <w:b/>
          <w:sz w:val="24"/>
          <w:szCs w:val="24"/>
        </w:rPr>
        <w:t>Strategy Development</w:t>
      </w:r>
    </w:p>
    <w:p w:rsidR="000453DC" w:rsidRDefault="000453DC" w:rsidP="00176532">
      <w:pPr>
        <w:spacing w:after="0" w:line="240" w:lineRule="auto"/>
        <w:jc w:val="both"/>
        <w:rPr>
          <w:rFonts w:cstheme="minorHAnsi"/>
          <w:sz w:val="24"/>
          <w:szCs w:val="24"/>
        </w:rPr>
      </w:pPr>
      <w:r w:rsidRPr="005F7DA5">
        <w:rPr>
          <w:rFonts w:cstheme="minorHAnsi"/>
          <w:sz w:val="24"/>
          <w:szCs w:val="24"/>
        </w:rPr>
        <w:t xml:space="preserve">The Planning </w:t>
      </w:r>
      <w:r w:rsidR="003E38C2" w:rsidRPr="005F7DA5">
        <w:rPr>
          <w:rFonts w:cstheme="minorHAnsi"/>
          <w:sz w:val="24"/>
          <w:szCs w:val="24"/>
        </w:rPr>
        <w:t>&amp;</w:t>
      </w:r>
      <w:r w:rsidRPr="005F7DA5">
        <w:rPr>
          <w:rFonts w:cstheme="minorHAnsi"/>
          <w:sz w:val="24"/>
          <w:szCs w:val="24"/>
        </w:rPr>
        <w:t xml:space="preserve"> Government Services Committee of the NEGRC Council provided oversight over the strategies developed during the planning process. Additionally, NEGRC engaged an email listserv of individuals who, during the stakeholder engagement process, indicated an interest in receiving updates and invitations to </w:t>
      </w:r>
      <w:r w:rsidR="003E38C2" w:rsidRPr="005F7DA5">
        <w:rPr>
          <w:rFonts w:cstheme="minorHAnsi"/>
          <w:sz w:val="24"/>
          <w:szCs w:val="24"/>
        </w:rPr>
        <w:t>comment as the plan took shape.</w:t>
      </w:r>
    </w:p>
    <w:p w:rsidR="00176532" w:rsidRPr="005F7DA5" w:rsidRDefault="00176532" w:rsidP="00176532">
      <w:pPr>
        <w:spacing w:after="0" w:line="240" w:lineRule="auto"/>
        <w:jc w:val="both"/>
        <w:rPr>
          <w:rFonts w:cstheme="minorHAnsi"/>
          <w:sz w:val="24"/>
          <w:szCs w:val="24"/>
        </w:rPr>
      </w:pPr>
    </w:p>
    <w:p w:rsidR="003E38C2" w:rsidRPr="005F7DA5" w:rsidRDefault="003E38C2" w:rsidP="002912DA">
      <w:pPr>
        <w:spacing w:line="240" w:lineRule="auto"/>
        <w:jc w:val="both"/>
        <w:rPr>
          <w:rFonts w:cstheme="minorHAnsi"/>
          <w:sz w:val="24"/>
          <w:szCs w:val="24"/>
        </w:rPr>
      </w:pPr>
      <w:r w:rsidRPr="005F7DA5">
        <w:rPr>
          <w:rFonts w:cstheme="minorHAnsi"/>
          <w:sz w:val="24"/>
          <w:szCs w:val="24"/>
        </w:rPr>
        <w:t>The Northeast Georgia Digital Economy Plan highlighted a need for meaningful coordination at the regional level and strategic and capital planning at the local and agency level</w:t>
      </w:r>
      <w:r w:rsidR="008460D3" w:rsidRPr="005F7DA5">
        <w:rPr>
          <w:rFonts w:cstheme="minorHAnsi"/>
          <w:sz w:val="24"/>
          <w:szCs w:val="24"/>
        </w:rPr>
        <w:t>. These needs may be</w:t>
      </w:r>
      <w:r w:rsidRPr="005F7DA5">
        <w:rPr>
          <w:rFonts w:cstheme="minorHAnsi"/>
          <w:sz w:val="24"/>
          <w:szCs w:val="24"/>
        </w:rPr>
        <w:t xml:space="preserve"> </w:t>
      </w:r>
      <w:r w:rsidR="008460D3" w:rsidRPr="005F7DA5">
        <w:rPr>
          <w:rFonts w:cstheme="minorHAnsi"/>
          <w:sz w:val="24"/>
          <w:szCs w:val="24"/>
        </w:rPr>
        <w:t>addressed</w:t>
      </w:r>
      <w:r w:rsidRPr="005F7DA5">
        <w:rPr>
          <w:rFonts w:cstheme="minorHAnsi"/>
          <w:sz w:val="24"/>
          <w:szCs w:val="24"/>
        </w:rPr>
        <w:t xml:space="preserve"> through the implementation of the four strategies detail</w:t>
      </w:r>
      <w:r w:rsidR="008460D3" w:rsidRPr="005F7DA5">
        <w:rPr>
          <w:rFonts w:cstheme="minorHAnsi"/>
          <w:sz w:val="24"/>
          <w:szCs w:val="24"/>
        </w:rPr>
        <w:t>ed</w:t>
      </w:r>
      <w:r w:rsidRPr="005F7DA5">
        <w:rPr>
          <w:rFonts w:cstheme="minorHAnsi"/>
          <w:sz w:val="24"/>
          <w:szCs w:val="24"/>
        </w:rPr>
        <w:t xml:space="preserve"> in this plan:</w:t>
      </w:r>
    </w:p>
    <w:p w:rsidR="003E38C2" w:rsidRPr="005F7DA5" w:rsidRDefault="003E38C2" w:rsidP="002912DA">
      <w:pPr>
        <w:pStyle w:val="ListParagraph"/>
        <w:numPr>
          <w:ilvl w:val="0"/>
          <w:numId w:val="3"/>
        </w:numPr>
        <w:spacing w:line="240" w:lineRule="auto"/>
        <w:jc w:val="both"/>
        <w:rPr>
          <w:rFonts w:cstheme="minorHAnsi"/>
          <w:sz w:val="24"/>
          <w:szCs w:val="24"/>
        </w:rPr>
      </w:pPr>
      <w:r w:rsidRPr="005F7DA5">
        <w:rPr>
          <w:rFonts w:cstheme="minorHAnsi"/>
          <w:sz w:val="24"/>
          <w:szCs w:val="24"/>
        </w:rPr>
        <w:lastRenderedPageBreak/>
        <w:t>Incorporate digital technology plan elements into the local comprehensive planning process.</w:t>
      </w:r>
    </w:p>
    <w:p w:rsidR="003E38C2" w:rsidRPr="005F7DA5" w:rsidRDefault="003E38C2" w:rsidP="002912DA">
      <w:pPr>
        <w:pStyle w:val="ListParagraph"/>
        <w:numPr>
          <w:ilvl w:val="0"/>
          <w:numId w:val="3"/>
        </w:numPr>
        <w:spacing w:line="240" w:lineRule="auto"/>
        <w:jc w:val="both"/>
        <w:rPr>
          <w:rFonts w:cstheme="minorHAnsi"/>
          <w:sz w:val="24"/>
          <w:szCs w:val="24"/>
        </w:rPr>
      </w:pPr>
      <w:r w:rsidRPr="005F7DA5">
        <w:rPr>
          <w:rFonts w:cstheme="minorHAnsi"/>
          <w:sz w:val="24"/>
          <w:szCs w:val="24"/>
        </w:rPr>
        <w:t>Develop “dig once” policies for local adoption.</w:t>
      </w:r>
    </w:p>
    <w:p w:rsidR="003E38C2" w:rsidRPr="005F7DA5" w:rsidRDefault="003E38C2" w:rsidP="002912DA">
      <w:pPr>
        <w:pStyle w:val="ListParagraph"/>
        <w:numPr>
          <w:ilvl w:val="0"/>
          <w:numId w:val="3"/>
        </w:numPr>
        <w:spacing w:line="240" w:lineRule="auto"/>
        <w:jc w:val="both"/>
        <w:rPr>
          <w:rFonts w:cstheme="minorHAnsi"/>
          <w:sz w:val="24"/>
          <w:szCs w:val="24"/>
        </w:rPr>
      </w:pPr>
      <w:r w:rsidRPr="005F7DA5">
        <w:rPr>
          <w:rFonts w:cstheme="minorHAnsi"/>
          <w:sz w:val="24"/>
          <w:szCs w:val="24"/>
        </w:rPr>
        <w:t>Develop regional coordination and sharing agreements for technologies and infrastructure.</w:t>
      </w:r>
    </w:p>
    <w:p w:rsidR="00201B31" w:rsidRDefault="003E38C2" w:rsidP="002912DA">
      <w:pPr>
        <w:pStyle w:val="ListParagraph"/>
        <w:numPr>
          <w:ilvl w:val="0"/>
          <w:numId w:val="3"/>
        </w:numPr>
        <w:spacing w:line="240" w:lineRule="auto"/>
        <w:jc w:val="both"/>
        <w:rPr>
          <w:rFonts w:cstheme="minorHAnsi"/>
          <w:sz w:val="24"/>
          <w:szCs w:val="24"/>
        </w:rPr>
      </w:pPr>
      <w:r w:rsidRPr="005F7DA5">
        <w:rPr>
          <w:rFonts w:cstheme="minorHAnsi"/>
          <w:sz w:val="24"/>
          <w:szCs w:val="24"/>
        </w:rPr>
        <w:t>Identify specific training and education needs at an organization/agency level, and develop programs to address those needs.</w:t>
      </w:r>
    </w:p>
    <w:p w:rsidR="002912DA" w:rsidRDefault="002912DA" w:rsidP="002912DA">
      <w:pPr>
        <w:pStyle w:val="ListParagraph"/>
        <w:numPr>
          <w:ilvl w:val="0"/>
          <w:numId w:val="3"/>
        </w:numPr>
        <w:spacing w:line="240" w:lineRule="auto"/>
        <w:jc w:val="both"/>
        <w:rPr>
          <w:rFonts w:cstheme="minorHAnsi"/>
          <w:sz w:val="24"/>
          <w:szCs w:val="24"/>
        </w:rPr>
        <w:sectPr w:rsidR="002912DA" w:rsidSect="0041586B">
          <w:headerReference w:type="default" r:id="rId14"/>
          <w:footerReference w:type="default" r:id="rId15"/>
          <w:pgSz w:w="12240" w:h="15840"/>
          <w:pgMar w:top="1440" w:right="1440" w:bottom="1440" w:left="1440" w:header="720" w:footer="720" w:gutter="0"/>
          <w:pgNumType w:start="1"/>
          <w:cols w:space="720"/>
          <w:docGrid w:linePitch="360"/>
        </w:sectPr>
      </w:pPr>
    </w:p>
    <w:p w:rsidR="008460D3" w:rsidRPr="001D3844" w:rsidRDefault="005F7DA5" w:rsidP="00F018BC">
      <w:pPr>
        <w:pStyle w:val="Heading1"/>
      </w:pPr>
      <w:bookmarkStart w:id="1" w:name="_Toc395275920"/>
      <w:r w:rsidRPr="001D3844">
        <w:lastRenderedPageBreak/>
        <w:t>Introduction</w:t>
      </w:r>
      <w:bookmarkEnd w:id="1"/>
    </w:p>
    <w:p w:rsidR="005F7DA5" w:rsidRDefault="005F7DA5" w:rsidP="002912DA">
      <w:pPr>
        <w:spacing w:line="240" w:lineRule="auto"/>
        <w:jc w:val="both"/>
        <w:rPr>
          <w:rFonts w:cstheme="minorHAnsi"/>
          <w:sz w:val="24"/>
          <w:szCs w:val="24"/>
        </w:rPr>
      </w:pPr>
      <w:r>
        <w:rPr>
          <w:rFonts w:cstheme="minorHAnsi"/>
          <w:sz w:val="24"/>
          <w:szCs w:val="24"/>
        </w:rPr>
        <w:t>[</w:t>
      </w:r>
      <w:proofErr w:type="gramStart"/>
      <w:r w:rsidRPr="005F7DA5">
        <w:rPr>
          <w:rFonts w:cstheme="minorHAnsi"/>
          <w:sz w:val="24"/>
          <w:szCs w:val="24"/>
          <w:highlight w:val="yellow"/>
        </w:rPr>
        <w:t>placeholder</w:t>
      </w:r>
      <w:proofErr w:type="gramEnd"/>
      <w:r w:rsidRPr="005F7DA5">
        <w:rPr>
          <w:rFonts w:cstheme="minorHAnsi"/>
          <w:sz w:val="24"/>
          <w:szCs w:val="24"/>
          <w:highlight w:val="yellow"/>
        </w:rPr>
        <w:t xml:space="preserve"> text from Bill/GTA</w:t>
      </w:r>
      <w:r>
        <w:rPr>
          <w:rFonts w:cstheme="minorHAnsi"/>
          <w:sz w:val="24"/>
          <w:szCs w:val="24"/>
        </w:rPr>
        <w:t>]</w:t>
      </w:r>
    </w:p>
    <w:p w:rsidR="005F7DA5" w:rsidRDefault="00250C58" w:rsidP="002912DA">
      <w:pPr>
        <w:spacing w:line="240" w:lineRule="auto"/>
        <w:jc w:val="both"/>
        <w:rPr>
          <w:rFonts w:cstheme="minorHAnsi"/>
          <w:sz w:val="24"/>
          <w:szCs w:val="24"/>
        </w:rPr>
      </w:pPr>
      <w:r w:rsidRPr="00250C58">
        <w:rPr>
          <w:rFonts w:cstheme="minorHAnsi"/>
          <w:sz w:val="24"/>
          <w:szCs w:val="24"/>
        </w:rPr>
        <w:t>The Northeast Georgia region compr</w:t>
      </w:r>
      <w:r>
        <w:rPr>
          <w:rFonts w:cstheme="minorHAnsi"/>
          <w:sz w:val="24"/>
          <w:szCs w:val="24"/>
        </w:rPr>
        <w:t xml:space="preserve">ises 12 counties and 54 municipalities, covering </w:t>
      </w:r>
      <w:r w:rsidRPr="00250C58">
        <w:rPr>
          <w:rFonts w:cstheme="minorHAnsi"/>
          <w:sz w:val="24"/>
          <w:szCs w:val="24"/>
        </w:rPr>
        <w:t xml:space="preserve">approximately 3,260 square </w:t>
      </w:r>
      <w:r>
        <w:rPr>
          <w:rFonts w:cstheme="minorHAnsi"/>
          <w:sz w:val="24"/>
          <w:szCs w:val="24"/>
        </w:rPr>
        <w:t>miles. While the easternmost edge of the region remains largely rural</w:t>
      </w:r>
      <w:r w:rsidRPr="00250C58">
        <w:rPr>
          <w:rFonts w:cstheme="minorHAnsi"/>
          <w:sz w:val="24"/>
          <w:szCs w:val="24"/>
        </w:rPr>
        <w:t xml:space="preserve">, the </w:t>
      </w:r>
      <w:r>
        <w:rPr>
          <w:rFonts w:cstheme="minorHAnsi"/>
          <w:sz w:val="24"/>
          <w:szCs w:val="24"/>
        </w:rPr>
        <w:t xml:space="preserve">Northeast Georgia </w:t>
      </w:r>
      <w:r w:rsidRPr="00250C58">
        <w:rPr>
          <w:rFonts w:cstheme="minorHAnsi"/>
          <w:sz w:val="24"/>
          <w:szCs w:val="24"/>
        </w:rPr>
        <w:t>experiences development pressures from the Atlanta metropolitan region to the immediate west</w:t>
      </w:r>
      <w:r>
        <w:rPr>
          <w:rFonts w:cstheme="minorHAnsi"/>
          <w:sz w:val="24"/>
          <w:szCs w:val="24"/>
        </w:rPr>
        <w:t>.</w:t>
      </w:r>
    </w:p>
    <w:p w:rsidR="00250C58" w:rsidRDefault="00250C58" w:rsidP="002912DA">
      <w:pPr>
        <w:spacing w:line="240" w:lineRule="auto"/>
        <w:jc w:val="both"/>
        <w:rPr>
          <w:rFonts w:cstheme="minorHAnsi"/>
          <w:sz w:val="24"/>
          <w:szCs w:val="24"/>
        </w:rPr>
      </w:pPr>
      <w:r w:rsidRPr="00250C58">
        <w:rPr>
          <w:rFonts w:cstheme="minorHAnsi"/>
          <w:sz w:val="24"/>
          <w:szCs w:val="24"/>
        </w:rPr>
        <w:t xml:space="preserve">The Northeast Georgia Regional Commission (NEGRC) serves </w:t>
      </w:r>
      <w:r>
        <w:rPr>
          <w:rFonts w:cstheme="minorHAnsi"/>
          <w:sz w:val="24"/>
          <w:szCs w:val="24"/>
        </w:rPr>
        <w:t>this region</w:t>
      </w:r>
      <w:r w:rsidRPr="00250C58">
        <w:rPr>
          <w:rFonts w:cstheme="minorHAnsi"/>
          <w:sz w:val="24"/>
          <w:szCs w:val="24"/>
        </w:rPr>
        <w:t>.</w:t>
      </w:r>
      <w:r>
        <w:rPr>
          <w:rFonts w:cstheme="minorHAnsi"/>
          <w:sz w:val="24"/>
          <w:szCs w:val="24"/>
        </w:rPr>
        <w:t xml:space="preserve"> </w:t>
      </w:r>
      <w:r w:rsidRPr="00250C58">
        <w:rPr>
          <w:rFonts w:cstheme="minorHAnsi"/>
          <w:sz w:val="24"/>
          <w:szCs w:val="24"/>
        </w:rPr>
        <w:t>Cr</w:t>
      </w:r>
      <w:r>
        <w:rPr>
          <w:rFonts w:cstheme="minorHAnsi"/>
          <w:sz w:val="24"/>
          <w:szCs w:val="24"/>
        </w:rPr>
        <w:t xml:space="preserve">eated in 1963, the agency is a </w:t>
      </w:r>
      <w:r w:rsidRPr="00250C58">
        <w:rPr>
          <w:rFonts w:cstheme="minorHAnsi"/>
          <w:sz w:val="24"/>
          <w:szCs w:val="24"/>
        </w:rPr>
        <w:t>resource for planning, economic development, grant</w:t>
      </w:r>
      <w:r>
        <w:rPr>
          <w:rFonts w:cstheme="minorHAnsi"/>
          <w:sz w:val="24"/>
          <w:szCs w:val="24"/>
        </w:rPr>
        <w:t xml:space="preserve"> </w:t>
      </w:r>
      <w:r w:rsidRPr="00250C58">
        <w:rPr>
          <w:rFonts w:cstheme="minorHAnsi"/>
          <w:sz w:val="24"/>
          <w:szCs w:val="24"/>
        </w:rPr>
        <w:t>writing</w:t>
      </w:r>
      <w:r>
        <w:rPr>
          <w:rFonts w:cstheme="minorHAnsi"/>
          <w:sz w:val="24"/>
          <w:szCs w:val="24"/>
        </w:rPr>
        <w:t>/administration</w:t>
      </w:r>
      <w:r w:rsidRPr="00250C58">
        <w:rPr>
          <w:rFonts w:cstheme="minorHAnsi"/>
          <w:sz w:val="24"/>
          <w:szCs w:val="24"/>
        </w:rPr>
        <w:t>, workforce</w:t>
      </w:r>
      <w:r w:rsidR="00BA6167">
        <w:rPr>
          <w:rFonts w:cstheme="minorHAnsi"/>
          <w:sz w:val="24"/>
          <w:szCs w:val="24"/>
        </w:rPr>
        <w:t xml:space="preserve"> training, and aging services. The digital economy planning process was facilitated by staff in the Planning &amp; Government Services Division.</w:t>
      </w:r>
    </w:p>
    <w:p w:rsidR="00115770" w:rsidRPr="00115770" w:rsidRDefault="00115770" w:rsidP="002912DA">
      <w:pPr>
        <w:pStyle w:val="Caption"/>
        <w:keepNext/>
        <w:jc w:val="center"/>
        <w:rPr>
          <w:color w:val="auto"/>
          <w:sz w:val="22"/>
          <w:szCs w:val="22"/>
        </w:rPr>
      </w:pPr>
      <w:r w:rsidRPr="00115770">
        <w:rPr>
          <w:color w:val="auto"/>
          <w:sz w:val="22"/>
          <w:szCs w:val="22"/>
        </w:rPr>
        <w:lastRenderedPageBreak/>
        <w:t xml:space="preserve">Map </w:t>
      </w:r>
      <w:r w:rsidRPr="00115770">
        <w:rPr>
          <w:color w:val="auto"/>
          <w:sz w:val="22"/>
          <w:szCs w:val="22"/>
        </w:rPr>
        <w:fldChar w:fldCharType="begin"/>
      </w:r>
      <w:r w:rsidRPr="00115770">
        <w:rPr>
          <w:color w:val="auto"/>
          <w:sz w:val="22"/>
          <w:szCs w:val="22"/>
        </w:rPr>
        <w:instrText xml:space="preserve"> SEQ Map \* ARABIC </w:instrText>
      </w:r>
      <w:r w:rsidRPr="00115770">
        <w:rPr>
          <w:color w:val="auto"/>
          <w:sz w:val="22"/>
          <w:szCs w:val="22"/>
        </w:rPr>
        <w:fldChar w:fldCharType="separate"/>
      </w:r>
      <w:r w:rsidR="00B91CD4">
        <w:rPr>
          <w:noProof/>
          <w:color w:val="auto"/>
          <w:sz w:val="22"/>
          <w:szCs w:val="22"/>
        </w:rPr>
        <w:t>1</w:t>
      </w:r>
      <w:r w:rsidRPr="00115770">
        <w:rPr>
          <w:color w:val="auto"/>
          <w:sz w:val="22"/>
          <w:szCs w:val="22"/>
        </w:rPr>
        <w:fldChar w:fldCharType="end"/>
      </w:r>
      <w:r>
        <w:rPr>
          <w:color w:val="auto"/>
          <w:sz w:val="22"/>
          <w:szCs w:val="22"/>
        </w:rPr>
        <w:t>- Northeast Georgia Region</w:t>
      </w:r>
    </w:p>
    <w:p w:rsidR="00115770" w:rsidRDefault="00115770" w:rsidP="002912DA">
      <w:pPr>
        <w:keepNext/>
        <w:spacing w:line="240" w:lineRule="auto"/>
        <w:jc w:val="center"/>
      </w:pPr>
      <w:r>
        <w:rPr>
          <w:rFonts w:cstheme="minorHAnsi"/>
          <w:noProof/>
          <w:sz w:val="24"/>
          <w:szCs w:val="24"/>
        </w:rPr>
        <w:drawing>
          <wp:inline distT="0" distB="0" distL="0" distR="0" wp14:anchorId="0FB31030" wp14:editId="6380A999">
            <wp:extent cx="5486400" cy="5486400"/>
            <wp:effectExtent l="0" t="0" r="0" b="0"/>
            <wp:docPr id="1" name="Picture 1" descr="\\plansrv\GISData\Current Projects\GTA\MISC Maps\For Document\Map 1 (Detailed Overvi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srv\GISData\Current Projects\GTA\MISC Maps\For Document\Map 1 (Detailed Overview).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115770" w:rsidRDefault="00BA6167" w:rsidP="002912DA">
      <w:pPr>
        <w:spacing w:line="240" w:lineRule="auto"/>
        <w:jc w:val="both"/>
        <w:rPr>
          <w:rFonts w:cstheme="minorHAnsi"/>
          <w:sz w:val="24"/>
          <w:szCs w:val="24"/>
        </w:rPr>
      </w:pPr>
      <w:r>
        <w:rPr>
          <w:rFonts w:cstheme="minorHAnsi"/>
          <w:sz w:val="24"/>
          <w:szCs w:val="24"/>
        </w:rPr>
        <w:t>NEGRC initiated the digital economy planning process in September 2013. The draft was circulated to stakeholders for review in August 2014, and submitted to GTA and the Middle Georgia Regional Commission for review in September 2014.</w:t>
      </w:r>
    </w:p>
    <w:p w:rsidR="00115770" w:rsidRDefault="00115770" w:rsidP="002912DA">
      <w:pPr>
        <w:spacing w:line="240" w:lineRule="auto"/>
        <w:jc w:val="both"/>
        <w:rPr>
          <w:rFonts w:cstheme="minorHAnsi"/>
          <w:sz w:val="24"/>
          <w:szCs w:val="24"/>
        </w:rPr>
      </w:pPr>
    </w:p>
    <w:p w:rsidR="00115770" w:rsidRDefault="00115770" w:rsidP="002912DA">
      <w:pPr>
        <w:spacing w:line="240" w:lineRule="auto"/>
        <w:jc w:val="both"/>
        <w:rPr>
          <w:rFonts w:cstheme="minorHAnsi"/>
          <w:sz w:val="24"/>
          <w:szCs w:val="24"/>
        </w:rPr>
        <w:sectPr w:rsidR="00115770" w:rsidSect="0041586B">
          <w:headerReference w:type="even" r:id="rId17"/>
          <w:headerReference w:type="default" r:id="rId18"/>
          <w:headerReference w:type="first" r:id="rId19"/>
          <w:pgSz w:w="12240" w:h="15840"/>
          <w:pgMar w:top="1440" w:right="1440" w:bottom="1440" w:left="1440" w:header="720" w:footer="720" w:gutter="0"/>
          <w:cols w:space="720"/>
          <w:docGrid w:linePitch="360"/>
        </w:sectPr>
      </w:pPr>
    </w:p>
    <w:p w:rsidR="00DA5169" w:rsidRPr="002912DA" w:rsidRDefault="00DA5169" w:rsidP="00F018BC">
      <w:pPr>
        <w:pStyle w:val="Heading1"/>
      </w:pPr>
      <w:bookmarkStart w:id="2" w:name="_Toc395275921"/>
      <w:r w:rsidRPr="002912DA">
        <w:lastRenderedPageBreak/>
        <w:t>Regional Stakeholders</w:t>
      </w:r>
      <w:bookmarkEnd w:id="2"/>
    </w:p>
    <w:p w:rsidR="00853533" w:rsidRDefault="00EF675D" w:rsidP="002912DA">
      <w:pPr>
        <w:spacing w:line="240" w:lineRule="auto"/>
        <w:jc w:val="both"/>
        <w:rPr>
          <w:rFonts w:cstheme="minorHAnsi"/>
          <w:sz w:val="24"/>
          <w:szCs w:val="24"/>
        </w:rPr>
      </w:pPr>
      <w:r w:rsidRPr="00EF675D">
        <w:rPr>
          <w:rFonts w:cstheme="minorHAnsi"/>
          <w:sz w:val="24"/>
          <w:szCs w:val="24"/>
        </w:rPr>
        <w:t xml:space="preserve">The Planning &amp; Government Services Committee of the NEGRC Council served as the advisory committee for the </w:t>
      </w:r>
      <w:r w:rsidR="00853533">
        <w:rPr>
          <w:rFonts w:cstheme="minorHAnsi"/>
          <w:sz w:val="24"/>
          <w:szCs w:val="24"/>
        </w:rPr>
        <w:t>Northeast Georgia Digital Economy Plan</w:t>
      </w:r>
      <w:r w:rsidRPr="00EF675D">
        <w:rPr>
          <w:rFonts w:cstheme="minorHAnsi"/>
          <w:sz w:val="24"/>
          <w:szCs w:val="24"/>
        </w:rPr>
        <w:t>, and was provided with regular updates on progress made.</w:t>
      </w:r>
    </w:p>
    <w:p w:rsidR="00DA5169" w:rsidRDefault="00DA5169" w:rsidP="002912DA">
      <w:pPr>
        <w:spacing w:line="240" w:lineRule="auto"/>
        <w:jc w:val="both"/>
        <w:rPr>
          <w:rFonts w:cstheme="minorHAnsi"/>
          <w:sz w:val="24"/>
          <w:szCs w:val="24"/>
        </w:rPr>
      </w:pPr>
      <w:r>
        <w:rPr>
          <w:rFonts w:cstheme="minorHAnsi"/>
          <w:sz w:val="24"/>
          <w:szCs w:val="24"/>
        </w:rPr>
        <w:t>NEGRC engaged a variety of stakeholders representing the four State priority areas of Economic Development, Education, Public Safety, and Healthcare. Presentations were given to the following groups</w:t>
      </w:r>
      <w:r w:rsidR="00943FF0">
        <w:rPr>
          <w:rFonts w:cstheme="minorHAnsi"/>
          <w:sz w:val="24"/>
          <w:szCs w:val="24"/>
        </w:rPr>
        <w:t xml:space="preserve"> at their regularly-held meetings</w:t>
      </w:r>
      <w:r>
        <w:rPr>
          <w:rFonts w:cstheme="minorHAnsi"/>
          <w:sz w:val="24"/>
          <w:szCs w:val="24"/>
        </w:rPr>
        <w:t xml:space="preserve"> from January through April 2014</w:t>
      </w:r>
      <w:r w:rsidR="00943FF0">
        <w:rPr>
          <w:rFonts w:cstheme="minorHAnsi"/>
          <w:sz w:val="24"/>
          <w:szCs w:val="24"/>
        </w:rPr>
        <w:t>. At these meetings, f</w:t>
      </w:r>
      <w:r>
        <w:rPr>
          <w:rFonts w:cstheme="minorHAnsi"/>
          <w:sz w:val="24"/>
          <w:szCs w:val="24"/>
        </w:rPr>
        <w:t>eedback was solicited in the form of hard-copy questionnaire forms</w:t>
      </w:r>
      <w:r w:rsidR="00943FF0">
        <w:rPr>
          <w:rFonts w:cstheme="minorHAnsi"/>
          <w:sz w:val="24"/>
          <w:szCs w:val="24"/>
        </w:rPr>
        <w:t>, which included an option to sign up for email updates on the planning process</w:t>
      </w:r>
      <w:r>
        <w:rPr>
          <w:rFonts w:cstheme="minorHAnsi"/>
          <w:sz w:val="24"/>
          <w:szCs w:val="24"/>
        </w:rPr>
        <w:t xml:space="preserve"> (see Appendix III).</w:t>
      </w:r>
    </w:p>
    <w:p w:rsidR="00943FF0" w:rsidRPr="00943FF0" w:rsidRDefault="00943FF0" w:rsidP="002912DA">
      <w:pPr>
        <w:pStyle w:val="ListParagraph"/>
        <w:numPr>
          <w:ilvl w:val="0"/>
          <w:numId w:val="4"/>
        </w:numPr>
        <w:spacing w:line="240" w:lineRule="auto"/>
        <w:rPr>
          <w:rFonts w:cstheme="minorHAnsi"/>
          <w:sz w:val="24"/>
          <w:szCs w:val="24"/>
        </w:rPr>
      </w:pPr>
      <w:r w:rsidRPr="00943FF0">
        <w:rPr>
          <w:rFonts w:cstheme="minorHAnsi"/>
          <w:sz w:val="24"/>
          <w:szCs w:val="24"/>
        </w:rPr>
        <w:t>NEGRC Council</w:t>
      </w:r>
    </w:p>
    <w:p w:rsidR="00DA5169" w:rsidRDefault="00DA5169" w:rsidP="002912DA">
      <w:pPr>
        <w:pStyle w:val="ListParagraph"/>
        <w:numPr>
          <w:ilvl w:val="0"/>
          <w:numId w:val="4"/>
        </w:numPr>
        <w:spacing w:line="240" w:lineRule="auto"/>
        <w:jc w:val="both"/>
        <w:rPr>
          <w:rFonts w:cstheme="minorHAnsi"/>
          <w:sz w:val="24"/>
          <w:szCs w:val="24"/>
        </w:rPr>
      </w:pPr>
      <w:r>
        <w:rPr>
          <w:rFonts w:cstheme="minorHAnsi"/>
          <w:sz w:val="24"/>
          <w:szCs w:val="24"/>
        </w:rPr>
        <w:t>Northeast Georgia</w:t>
      </w:r>
      <w:r w:rsidRPr="00DA5169">
        <w:rPr>
          <w:rFonts w:cstheme="minorHAnsi"/>
          <w:sz w:val="24"/>
          <w:szCs w:val="24"/>
        </w:rPr>
        <w:t xml:space="preserve"> Regional Educational Service Agency</w:t>
      </w:r>
      <w:r>
        <w:rPr>
          <w:rFonts w:cstheme="minorHAnsi"/>
          <w:sz w:val="24"/>
          <w:szCs w:val="24"/>
        </w:rPr>
        <w:t xml:space="preserve"> (</w:t>
      </w:r>
      <w:r w:rsidRPr="00DA5169">
        <w:rPr>
          <w:rFonts w:cstheme="minorHAnsi"/>
          <w:sz w:val="24"/>
          <w:szCs w:val="24"/>
        </w:rPr>
        <w:t>RESA</w:t>
      </w:r>
      <w:r>
        <w:rPr>
          <w:rFonts w:cstheme="minorHAnsi"/>
          <w:sz w:val="24"/>
          <w:szCs w:val="24"/>
        </w:rPr>
        <w:t>)</w:t>
      </w:r>
      <w:r w:rsidRPr="00DA5169">
        <w:rPr>
          <w:rFonts w:cstheme="minorHAnsi"/>
          <w:sz w:val="24"/>
          <w:szCs w:val="24"/>
        </w:rPr>
        <w:t xml:space="preserve"> Curriculum Directors</w:t>
      </w:r>
    </w:p>
    <w:p w:rsidR="00DA5169" w:rsidRDefault="00DA5169" w:rsidP="002912DA">
      <w:pPr>
        <w:pStyle w:val="ListParagraph"/>
        <w:numPr>
          <w:ilvl w:val="0"/>
          <w:numId w:val="4"/>
        </w:numPr>
        <w:spacing w:line="240" w:lineRule="auto"/>
        <w:jc w:val="both"/>
        <w:rPr>
          <w:rFonts w:cstheme="minorHAnsi"/>
          <w:sz w:val="24"/>
          <w:szCs w:val="24"/>
        </w:rPr>
      </w:pPr>
      <w:r>
        <w:rPr>
          <w:rFonts w:cstheme="minorHAnsi"/>
          <w:sz w:val="24"/>
          <w:szCs w:val="24"/>
        </w:rPr>
        <w:t>Northeast Georgia Aging and Disability Resource Connection(ADRC)</w:t>
      </w:r>
    </w:p>
    <w:p w:rsidR="00DA5169" w:rsidRDefault="00DA5169" w:rsidP="002912DA">
      <w:pPr>
        <w:pStyle w:val="ListParagraph"/>
        <w:numPr>
          <w:ilvl w:val="0"/>
          <w:numId w:val="4"/>
        </w:numPr>
        <w:spacing w:line="240" w:lineRule="auto"/>
        <w:jc w:val="both"/>
        <w:rPr>
          <w:rFonts w:cstheme="minorHAnsi"/>
          <w:sz w:val="24"/>
          <w:szCs w:val="24"/>
        </w:rPr>
      </w:pPr>
      <w:r>
        <w:rPr>
          <w:rFonts w:cstheme="minorHAnsi"/>
          <w:sz w:val="24"/>
          <w:szCs w:val="24"/>
        </w:rPr>
        <w:t>Northeast Georgia Region 10 Emergency Medical Services Council</w:t>
      </w:r>
    </w:p>
    <w:p w:rsidR="00943FF0" w:rsidRDefault="00943FF0" w:rsidP="002912DA">
      <w:pPr>
        <w:pStyle w:val="ListParagraph"/>
        <w:numPr>
          <w:ilvl w:val="0"/>
          <w:numId w:val="4"/>
        </w:numPr>
        <w:spacing w:line="240" w:lineRule="auto"/>
        <w:jc w:val="both"/>
        <w:rPr>
          <w:rFonts w:cstheme="minorHAnsi"/>
          <w:sz w:val="24"/>
          <w:szCs w:val="24"/>
        </w:rPr>
      </w:pPr>
      <w:r w:rsidRPr="00943FF0">
        <w:rPr>
          <w:rFonts w:cstheme="minorHAnsi"/>
          <w:sz w:val="24"/>
          <w:szCs w:val="24"/>
        </w:rPr>
        <w:t>Northeast Georgia Workforce Investment Board (WIB)</w:t>
      </w:r>
    </w:p>
    <w:p w:rsidR="00DA5169" w:rsidRDefault="00DA5169" w:rsidP="002912DA">
      <w:pPr>
        <w:pStyle w:val="ListParagraph"/>
        <w:numPr>
          <w:ilvl w:val="0"/>
          <w:numId w:val="4"/>
        </w:numPr>
        <w:spacing w:line="240" w:lineRule="auto"/>
        <w:jc w:val="both"/>
        <w:rPr>
          <w:rFonts w:cstheme="minorHAnsi"/>
          <w:sz w:val="24"/>
          <w:szCs w:val="24"/>
        </w:rPr>
      </w:pPr>
      <w:r>
        <w:rPr>
          <w:rFonts w:cstheme="minorHAnsi"/>
          <w:sz w:val="24"/>
          <w:szCs w:val="24"/>
        </w:rPr>
        <w:t>Joint Development Authority of Northeast Georgia</w:t>
      </w:r>
    </w:p>
    <w:p w:rsidR="00943FF0" w:rsidRPr="00943FF0" w:rsidRDefault="00943FF0" w:rsidP="002912DA">
      <w:pPr>
        <w:pStyle w:val="ListParagraph"/>
        <w:numPr>
          <w:ilvl w:val="0"/>
          <w:numId w:val="4"/>
        </w:numPr>
        <w:spacing w:line="240" w:lineRule="auto"/>
        <w:rPr>
          <w:rFonts w:cstheme="minorHAnsi"/>
          <w:sz w:val="24"/>
          <w:szCs w:val="24"/>
        </w:rPr>
      </w:pPr>
      <w:r>
        <w:rPr>
          <w:rFonts w:cstheme="minorHAnsi"/>
          <w:sz w:val="24"/>
          <w:szCs w:val="24"/>
        </w:rPr>
        <w:t>Regional Senior Center D</w:t>
      </w:r>
      <w:r w:rsidRPr="00943FF0">
        <w:rPr>
          <w:rFonts w:cstheme="minorHAnsi"/>
          <w:sz w:val="24"/>
          <w:szCs w:val="24"/>
        </w:rPr>
        <w:t>irectors</w:t>
      </w:r>
    </w:p>
    <w:p w:rsidR="00EE46AA" w:rsidRDefault="00EE46AA" w:rsidP="002912DA">
      <w:pPr>
        <w:spacing w:line="240" w:lineRule="auto"/>
        <w:jc w:val="both"/>
        <w:rPr>
          <w:rFonts w:cstheme="minorHAnsi"/>
          <w:sz w:val="24"/>
          <w:szCs w:val="24"/>
        </w:rPr>
      </w:pPr>
      <w:r>
        <w:rPr>
          <w:rFonts w:cstheme="minorHAnsi"/>
          <w:sz w:val="24"/>
          <w:szCs w:val="24"/>
        </w:rPr>
        <w:t xml:space="preserve">NEGRC staff </w:t>
      </w:r>
      <w:r w:rsidR="00513C48">
        <w:rPr>
          <w:rFonts w:cstheme="minorHAnsi"/>
          <w:sz w:val="24"/>
          <w:szCs w:val="24"/>
        </w:rPr>
        <w:t>had hoped for</w:t>
      </w:r>
      <w:r>
        <w:rPr>
          <w:rFonts w:cstheme="minorHAnsi"/>
          <w:sz w:val="24"/>
          <w:szCs w:val="24"/>
        </w:rPr>
        <w:t xml:space="preserve"> greater engagement from elected officials </w:t>
      </w:r>
      <w:r w:rsidR="00513C48">
        <w:rPr>
          <w:rFonts w:cstheme="minorHAnsi"/>
          <w:sz w:val="24"/>
          <w:szCs w:val="24"/>
        </w:rPr>
        <w:t>and/</w:t>
      </w:r>
      <w:r>
        <w:rPr>
          <w:rFonts w:cstheme="minorHAnsi"/>
          <w:sz w:val="24"/>
          <w:szCs w:val="24"/>
        </w:rPr>
        <w:t xml:space="preserve">or administrative staff within city and county governments during the stakeholder engagement process, but was able only to solicit </w:t>
      </w:r>
      <w:r w:rsidR="00513C48">
        <w:rPr>
          <w:rFonts w:cstheme="minorHAnsi"/>
          <w:sz w:val="24"/>
          <w:szCs w:val="24"/>
        </w:rPr>
        <w:t>such input</w:t>
      </w:r>
      <w:r>
        <w:rPr>
          <w:rFonts w:cstheme="minorHAnsi"/>
          <w:sz w:val="24"/>
          <w:szCs w:val="24"/>
        </w:rPr>
        <w:t xml:space="preserve"> from three cities (Auburn, </w:t>
      </w:r>
      <w:proofErr w:type="spellStart"/>
      <w:r>
        <w:rPr>
          <w:rFonts w:cstheme="minorHAnsi"/>
          <w:sz w:val="24"/>
          <w:szCs w:val="24"/>
        </w:rPr>
        <w:t>Porterdale</w:t>
      </w:r>
      <w:proofErr w:type="spellEnd"/>
      <w:r>
        <w:rPr>
          <w:rFonts w:cstheme="minorHAnsi"/>
          <w:sz w:val="24"/>
          <w:szCs w:val="24"/>
        </w:rPr>
        <w:t>, and Watkinsville).</w:t>
      </w:r>
      <w:r w:rsidR="00513C48">
        <w:rPr>
          <w:rFonts w:cstheme="minorHAnsi"/>
          <w:sz w:val="24"/>
          <w:szCs w:val="24"/>
        </w:rPr>
        <w:t xml:space="preserve"> Staff within specific government-related departments or organizations (e.g. public safety, senior centers, and school systems) was more responsive. (See the Section III Appendix for a qualitative analysis of agency/organization questionnaire responses.)</w:t>
      </w:r>
    </w:p>
    <w:p w:rsidR="00943FF0" w:rsidRDefault="00A70A29" w:rsidP="002912DA">
      <w:pPr>
        <w:spacing w:line="240" w:lineRule="auto"/>
        <w:jc w:val="both"/>
        <w:rPr>
          <w:rFonts w:cstheme="minorHAnsi"/>
          <w:sz w:val="24"/>
          <w:szCs w:val="24"/>
        </w:rPr>
      </w:pPr>
      <w:r>
        <w:rPr>
          <w:rFonts w:cstheme="minorHAnsi"/>
          <w:sz w:val="24"/>
          <w:szCs w:val="24"/>
        </w:rPr>
        <w:t>During the planning process, input</w:t>
      </w:r>
      <w:r w:rsidR="00943FF0">
        <w:rPr>
          <w:rFonts w:cstheme="minorHAnsi"/>
          <w:sz w:val="24"/>
          <w:szCs w:val="24"/>
        </w:rPr>
        <w:t xml:space="preserve"> was also </w:t>
      </w:r>
      <w:r>
        <w:rPr>
          <w:rFonts w:cstheme="minorHAnsi"/>
          <w:sz w:val="24"/>
          <w:szCs w:val="24"/>
        </w:rPr>
        <w:t>obtained</w:t>
      </w:r>
      <w:r w:rsidR="00943FF0">
        <w:rPr>
          <w:rFonts w:cstheme="minorHAnsi"/>
          <w:sz w:val="24"/>
          <w:szCs w:val="24"/>
        </w:rPr>
        <w:t xml:space="preserve"> through meetings </w:t>
      </w:r>
      <w:r w:rsidR="00853533">
        <w:rPr>
          <w:rFonts w:cstheme="minorHAnsi"/>
          <w:sz w:val="24"/>
          <w:szCs w:val="24"/>
        </w:rPr>
        <w:t xml:space="preserve">and conversations </w:t>
      </w:r>
      <w:r w:rsidR="00943FF0">
        <w:rPr>
          <w:rFonts w:cstheme="minorHAnsi"/>
          <w:sz w:val="24"/>
          <w:szCs w:val="24"/>
        </w:rPr>
        <w:t>with the following:</w:t>
      </w:r>
    </w:p>
    <w:p w:rsidR="00943FF0" w:rsidRDefault="00943FF0" w:rsidP="002912DA">
      <w:pPr>
        <w:pStyle w:val="ListParagraph"/>
        <w:numPr>
          <w:ilvl w:val="0"/>
          <w:numId w:val="5"/>
        </w:numPr>
        <w:spacing w:line="240" w:lineRule="auto"/>
        <w:jc w:val="both"/>
        <w:rPr>
          <w:rFonts w:cstheme="minorHAnsi"/>
          <w:sz w:val="24"/>
          <w:szCs w:val="24"/>
        </w:rPr>
      </w:pPr>
      <w:r>
        <w:rPr>
          <w:rFonts w:cstheme="minorHAnsi"/>
          <w:sz w:val="24"/>
          <w:szCs w:val="24"/>
        </w:rPr>
        <w:t>Brian K. Thompson, MonroeAccess.net</w:t>
      </w:r>
    </w:p>
    <w:p w:rsidR="00943FF0" w:rsidRDefault="00943FF0" w:rsidP="002912DA">
      <w:pPr>
        <w:pStyle w:val="ListParagraph"/>
        <w:numPr>
          <w:ilvl w:val="0"/>
          <w:numId w:val="5"/>
        </w:numPr>
        <w:spacing w:line="240" w:lineRule="auto"/>
        <w:jc w:val="both"/>
        <w:rPr>
          <w:rFonts w:cstheme="minorHAnsi"/>
          <w:sz w:val="24"/>
          <w:szCs w:val="24"/>
        </w:rPr>
      </w:pPr>
      <w:r>
        <w:rPr>
          <w:rFonts w:cstheme="minorHAnsi"/>
          <w:sz w:val="24"/>
          <w:szCs w:val="24"/>
        </w:rPr>
        <w:t xml:space="preserve">Lanier Dunn, </w:t>
      </w:r>
      <w:proofErr w:type="spellStart"/>
      <w:r>
        <w:rPr>
          <w:rFonts w:cstheme="minorHAnsi"/>
          <w:sz w:val="24"/>
          <w:szCs w:val="24"/>
        </w:rPr>
        <w:t>ElbertonNET</w:t>
      </w:r>
      <w:proofErr w:type="spellEnd"/>
    </w:p>
    <w:p w:rsidR="00943FF0" w:rsidRDefault="00943FF0" w:rsidP="002912DA">
      <w:pPr>
        <w:pStyle w:val="ListParagraph"/>
        <w:numPr>
          <w:ilvl w:val="0"/>
          <w:numId w:val="5"/>
        </w:numPr>
        <w:spacing w:line="240" w:lineRule="auto"/>
        <w:jc w:val="both"/>
        <w:rPr>
          <w:rFonts w:cstheme="minorHAnsi"/>
          <w:sz w:val="24"/>
          <w:szCs w:val="24"/>
        </w:rPr>
      </w:pPr>
      <w:r>
        <w:rPr>
          <w:rFonts w:cstheme="minorHAnsi"/>
          <w:sz w:val="24"/>
          <w:szCs w:val="24"/>
        </w:rPr>
        <w:t>Paul Chambers, AT&amp;T</w:t>
      </w:r>
    </w:p>
    <w:p w:rsidR="00943FF0" w:rsidRDefault="00943FF0" w:rsidP="002912DA">
      <w:pPr>
        <w:pStyle w:val="ListParagraph"/>
        <w:numPr>
          <w:ilvl w:val="0"/>
          <w:numId w:val="5"/>
        </w:numPr>
        <w:spacing w:line="240" w:lineRule="auto"/>
        <w:jc w:val="both"/>
        <w:rPr>
          <w:rFonts w:cstheme="minorHAnsi"/>
          <w:sz w:val="24"/>
          <w:szCs w:val="24"/>
        </w:rPr>
      </w:pPr>
      <w:r>
        <w:rPr>
          <w:rFonts w:cstheme="minorHAnsi"/>
          <w:sz w:val="24"/>
          <w:szCs w:val="24"/>
        </w:rPr>
        <w:t>Robert Oakes, Georgia Public Web</w:t>
      </w:r>
    </w:p>
    <w:p w:rsidR="00943FF0" w:rsidRDefault="00943FF0" w:rsidP="002912DA">
      <w:pPr>
        <w:pStyle w:val="ListParagraph"/>
        <w:numPr>
          <w:ilvl w:val="0"/>
          <w:numId w:val="5"/>
        </w:numPr>
        <w:spacing w:line="240" w:lineRule="auto"/>
        <w:jc w:val="both"/>
        <w:rPr>
          <w:rFonts w:cstheme="minorHAnsi"/>
          <w:sz w:val="24"/>
          <w:szCs w:val="24"/>
        </w:rPr>
      </w:pPr>
      <w:r>
        <w:rPr>
          <w:rFonts w:cstheme="minorHAnsi"/>
          <w:sz w:val="24"/>
          <w:szCs w:val="24"/>
        </w:rPr>
        <w:t>Jim Flannery, Four Athens</w:t>
      </w:r>
    </w:p>
    <w:p w:rsidR="00853533" w:rsidRPr="00853533" w:rsidRDefault="00A70A29" w:rsidP="002912DA">
      <w:pPr>
        <w:pStyle w:val="ListParagraph"/>
        <w:numPr>
          <w:ilvl w:val="0"/>
          <w:numId w:val="5"/>
        </w:numPr>
        <w:spacing w:line="240" w:lineRule="auto"/>
        <w:jc w:val="both"/>
        <w:rPr>
          <w:rFonts w:cstheme="minorHAnsi"/>
          <w:sz w:val="24"/>
          <w:szCs w:val="24"/>
        </w:rPr>
      </w:pPr>
      <w:r>
        <w:rPr>
          <w:rFonts w:cstheme="minorHAnsi"/>
          <w:sz w:val="24"/>
          <w:szCs w:val="24"/>
        </w:rPr>
        <w:t>Bryan Zulko, USDA-Rural Development</w:t>
      </w:r>
    </w:p>
    <w:p w:rsidR="00A70A29" w:rsidRDefault="00A70A29" w:rsidP="002912DA">
      <w:pPr>
        <w:pStyle w:val="ListParagraph"/>
        <w:numPr>
          <w:ilvl w:val="0"/>
          <w:numId w:val="5"/>
        </w:numPr>
        <w:spacing w:line="240" w:lineRule="auto"/>
        <w:jc w:val="both"/>
        <w:rPr>
          <w:rFonts w:cstheme="minorHAnsi"/>
          <w:sz w:val="24"/>
          <w:szCs w:val="24"/>
        </w:rPr>
      </w:pPr>
      <w:r>
        <w:rPr>
          <w:rFonts w:cstheme="minorHAnsi"/>
          <w:sz w:val="24"/>
          <w:szCs w:val="24"/>
        </w:rPr>
        <w:t xml:space="preserve">UGA Carl </w:t>
      </w:r>
      <w:r w:rsidRPr="00A70A29">
        <w:rPr>
          <w:rFonts w:cstheme="minorHAnsi"/>
          <w:sz w:val="24"/>
          <w:szCs w:val="24"/>
        </w:rPr>
        <w:t>Vinson Institute's Office of Information Technology Outreach Services</w:t>
      </w:r>
      <w:r>
        <w:rPr>
          <w:rFonts w:cstheme="minorHAnsi"/>
          <w:sz w:val="24"/>
          <w:szCs w:val="24"/>
        </w:rPr>
        <w:t xml:space="preserve"> (ITOS)</w:t>
      </w:r>
    </w:p>
    <w:p w:rsidR="00A70A29" w:rsidRDefault="00A70A29" w:rsidP="002912DA">
      <w:pPr>
        <w:pStyle w:val="ListParagraph"/>
        <w:numPr>
          <w:ilvl w:val="1"/>
          <w:numId w:val="5"/>
        </w:numPr>
        <w:spacing w:line="240" w:lineRule="auto"/>
        <w:jc w:val="both"/>
        <w:rPr>
          <w:rFonts w:cstheme="minorHAnsi"/>
          <w:sz w:val="24"/>
          <w:szCs w:val="24"/>
        </w:rPr>
      </w:pPr>
      <w:r w:rsidRPr="00A70A29">
        <w:rPr>
          <w:rFonts w:cstheme="minorHAnsi"/>
          <w:sz w:val="24"/>
          <w:szCs w:val="24"/>
        </w:rPr>
        <w:t>David Holcomb, Eric McRae, Mike Perkins, Jimmy Nolan</w:t>
      </w:r>
    </w:p>
    <w:p w:rsidR="00853533" w:rsidRDefault="00853533" w:rsidP="002912DA">
      <w:pPr>
        <w:pStyle w:val="ListParagraph"/>
        <w:numPr>
          <w:ilvl w:val="0"/>
          <w:numId w:val="5"/>
        </w:numPr>
        <w:spacing w:line="240" w:lineRule="auto"/>
        <w:jc w:val="both"/>
        <w:rPr>
          <w:rFonts w:cstheme="minorHAnsi"/>
          <w:sz w:val="24"/>
          <w:szCs w:val="24"/>
        </w:rPr>
      </w:pPr>
      <w:r>
        <w:rPr>
          <w:rFonts w:cstheme="minorHAnsi"/>
          <w:sz w:val="24"/>
          <w:szCs w:val="24"/>
        </w:rPr>
        <w:t xml:space="preserve">Greg </w:t>
      </w:r>
      <w:proofErr w:type="spellStart"/>
      <w:r>
        <w:rPr>
          <w:rFonts w:cstheme="minorHAnsi"/>
          <w:sz w:val="24"/>
          <w:szCs w:val="24"/>
        </w:rPr>
        <w:t>Laudeman</w:t>
      </w:r>
      <w:proofErr w:type="spellEnd"/>
      <w:r>
        <w:rPr>
          <w:rFonts w:cstheme="minorHAnsi"/>
          <w:sz w:val="24"/>
          <w:szCs w:val="24"/>
        </w:rPr>
        <w:t xml:space="preserve">, Greg </w:t>
      </w:r>
      <w:proofErr w:type="spellStart"/>
      <w:r>
        <w:rPr>
          <w:rFonts w:cstheme="minorHAnsi"/>
          <w:sz w:val="24"/>
          <w:szCs w:val="24"/>
        </w:rPr>
        <w:t>Laudeman</w:t>
      </w:r>
      <w:proofErr w:type="spellEnd"/>
      <w:r>
        <w:rPr>
          <w:rFonts w:cstheme="minorHAnsi"/>
          <w:sz w:val="24"/>
          <w:szCs w:val="24"/>
        </w:rPr>
        <w:t xml:space="preserve"> Consulting</w:t>
      </w:r>
    </w:p>
    <w:p w:rsidR="006F6EEA" w:rsidRDefault="006F6EEA" w:rsidP="002912DA">
      <w:pPr>
        <w:spacing w:line="240" w:lineRule="auto"/>
        <w:jc w:val="both"/>
        <w:rPr>
          <w:rFonts w:cstheme="minorHAnsi"/>
          <w:sz w:val="24"/>
          <w:szCs w:val="24"/>
        </w:rPr>
      </w:pPr>
      <w:r w:rsidRPr="006F6EEA">
        <w:rPr>
          <w:rFonts w:cstheme="minorHAnsi"/>
          <w:sz w:val="24"/>
          <w:szCs w:val="24"/>
        </w:rPr>
        <w:t xml:space="preserve">NEGRC created </w:t>
      </w:r>
      <w:r>
        <w:rPr>
          <w:rFonts w:cstheme="minorHAnsi"/>
          <w:sz w:val="24"/>
          <w:szCs w:val="24"/>
        </w:rPr>
        <w:t xml:space="preserve">and publicized </w:t>
      </w:r>
      <w:r w:rsidRPr="006F6EEA">
        <w:rPr>
          <w:rFonts w:cstheme="minorHAnsi"/>
          <w:sz w:val="24"/>
          <w:szCs w:val="24"/>
        </w:rPr>
        <w:t>two online questionnaires to gather information about how residents and businesses in Northeast Georgia use digital technologies</w:t>
      </w:r>
      <w:r>
        <w:rPr>
          <w:rFonts w:cstheme="minorHAnsi"/>
          <w:sz w:val="24"/>
          <w:szCs w:val="24"/>
        </w:rPr>
        <w:t xml:space="preserve">. From February through April 2014, NEGRC collected 96 business responses </w:t>
      </w:r>
      <w:r w:rsidR="002B08FD">
        <w:rPr>
          <w:rFonts w:cstheme="minorHAnsi"/>
          <w:sz w:val="24"/>
          <w:szCs w:val="24"/>
        </w:rPr>
        <w:t xml:space="preserve">and 448 resident responses. </w:t>
      </w:r>
      <w:r w:rsidR="005B1802">
        <w:rPr>
          <w:rFonts w:cstheme="minorHAnsi"/>
          <w:sz w:val="24"/>
          <w:szCs w:val="24"/>
        </w:rPr>
        <w:t xml:space="preserve">For both questionnaires, the highest number of responses came from Walton County, with 33% (32) of business responses and 24% (106) of resident responses. </w:t>
      </w:r>
      <w:r w:rsidR="00EE46AA">
        <w:rPr>
          <w:rFonts w:cstheme="minorHAnsi"/>
          <w:sz w:val="24"/>
          <w:szCs w:val="24"/>
        </w:rPr>
        <w:t xml:space="preserve">The second highest number of </w:t>
      </w:r>
      <w:r w:rsidR="00EE46AA">
        <w:rPr>
          <w:rFonts w:cstheme="minorHAnsi"/>
          <w:sz w:val="24"/>
          <w:szCs w:val="24"/>
        </w:rPr>
        <w:lastRenderedPageBreak/>
        <w:t xml:space="preserve">resident responses came from Jasper County, at 19% (87). Nearly two-thirds (62%) of resident respondents live in a rural area. </w:t>
      </w:r>
      <w:r w:rsidR="005B1802">
        <w:rPr>
          <w:rFonts w:cstheme="minorHAnsi"/>
          <w:sz w:val="24"/>
          <w:szCs w:val="24"/>
        </w:rPr>
        <w:t>NEGRC staff expected greater engagement within Athens-Clarke County, given its relative concentration of commerce and population</w:t>
      </w:r>
      <w:r w:rsidR="00EE46AA">
        <w:rPr>
          <w:rFonts w:cstheme="minorHAnsi"/>
          <w:sz w:val="24"/>
          <w:szCs w:val="24"/>
        </w:rPr>
        <w:t>, but was unable to increase the response rate even after repeated social media postings and email blasts</w:t>
      </w:r>
      <w:r w:rsidR="005B1802">
        <w:rPr>
          <w:rFonts w:cstheme="minorHAnsi"/>
          <w:sz w:val="24"/>
          <w:szCs w:val="24"/>
        </w:rPr>
        <w:t xml:space="preserve">. </w:t>
      </w:r>
      <w:r w:rsidR="002B08FD">
        <w:rPr>
          <w:rFonts w:cstheme="minorHAnsi"/>
          <w:sz w:val="24"/>
          <w:szCs w:val="24"/>
        </w:rPr>
        <w:t>(See the Section III Appendix for questionnaire results.)</w:t>
      </w:r>
    </w:p>
    <w:p w:rsidR="002B08FD" w:rsidRDefault="002B08FD" w:rsidP="002912DA">
      <w:pPr>
        <w:spacing w:after="0" w:line="240" w:lineRule="auto"/>
        <w:jc w:val="both"/>
        <w:rPr>
          <w:rFonts w:cstheme="minorHAnsi"/>
          <w:sz w:val="24"/>
          <w:szCs w:val="24"/>
        </w:rPr>
      </w:pPr>
      <w:r>
        <w:rPr>
          <w:rFonts w:cstheme="minorHAnsi"/>
          <w:sz w:val="24"/>
          <w:szCs w:val="24"/>
        </w:rPr>
        <w:t>These outreach efforts, combined, directly informed the SWOC analysis and identification of strategic focus areas.</w:t>
      </w:r>
    </w:p>
    <w:p w:rsidR="004E3AA4" w:rsidRDefault="004E3AA4" w:rsidP="002912DA">
      <w:pPr>
        <w:spacing w:after="0" w:line="240" w:lineRule="auto"/>
        <w:jc w:val="both"/>
        <w:rPr>
          <w:rFonts w:cstheme="minorHAnsi"/>
          <w:sz w:val="24"/>
          <w:szCs w:val="24"/>
        </w:rPr>
        <w:sectPr w:rsidR="004E3AA4" w:rsidSect="0041586B">
          <w:headerReference w:type="even" r:id="rId20"/>
          <w:headerReference w:type="default" r:id="rId21"/>
          <w:headerReference w:type="first" r:id="rId22"/>
          <w:pgSz w:w="12240" w:h="15840"/>
          <w:pgMar w:top="1440" w:right="1440" w:bottom="1440" w:left="1440" w:header="720" w:footer="720" w:gutter="0"/>
          <w:cols w:space="720"/>
          <w:docGrid w:linePitch="360"/>
        </w:sectPr>
      </w:pPr>
    </w:p>
    <w:p w:rsidR="004E3AA4" w:rsidRPr="0041586B" w:rsidRDefault="004E3AA4" w:rsidP="00A71132">
      <w:pPr>
        <w:pStyle w:val="Heading1"/>
      </w:pPr>
      <w:bookmarkStart w:id="3" w:name="_Toc395275922"/>
      <w:r w:rsidRPr="0041586B">
        <w:lastRenderedPageBreak/>
        <w:t>Economic Summary</w:t>
      </w:r>
      <w:bookmarkEnd w:id="3"/>
    </w:p>
    <w:p w:rsidR="00550F52" w:rsidRPr="0041586B" w:rsidRDefault="00550F52" w:rsidP="00EB0173">
      <w:pPr>
        <w:spacing w:after="0" w:line="240" w:lineRule="auto"/>
        <w:jc w:val="both"/>
        <w:rPr>
          <w:sz w:val="24"/>
          <w:szCs w:val="24"/>
        </w:rPr>
      </w:pPr>
      <w:r w:rsidRPr="0041586B">
        <w:rPr>
          <w:sz w:val="24"/>
          <w:szCs w:val="24"/>
        </w:rPr>
        <w:t xml:space="preserve">During FY2013, NEGRC facilitated the development of a Comprehensive Economic Development Strategy (CEDS), building on the </w:t>
      </w:r>
      <w:r w:rsidRPr="0041586B">
        <w:rPr>
          <w:i/>
          <w:sz w:val="24"/>
          <w:szCs w:val="24"/>
        </w:rPr>
        <w:t>Northeast Georgia Plan 2035</w:t>
      </w:r>
      <w:r w:rsidRPr="0041586B">
        <w:rPr>
          <w:sz w:val="24"/>
          <w:szCs w:val="24"/>
        </w:rPr>
        <w:t xml:space="preserve"> developed during FY2011 and FY2012 per the regional planning standards and procedures established by the Georgia Department of Community Affairs (DCA). The following tables offer an update to much of the data presented in </w:t>
      </w:r>
      <w:r w:rsidRPr="0041586B">
        <w:rPr>
          <w:i/>
          <w:sz w:val="24"/>
          <w:szCs w:val="24"/>
        </w:rPr>
        <w:t>2012 Northeast Georgia Comprehensive Economic Development Strategy</w:t>
      </w:r>
      <w:r w:rsidRPr="0041586B">
        <w:rPr>
          <w:sz w:val="24"/>
          <w:szCs w:val="24"/>
        </w:rPr>
        <w:t>, using the most current information available.</w:t>
      </w:r>
      <w:r w:rsidRPr="0041586B">
        <w:rPr>
          <w:rStyle w:val="FootnoteReference"/>
          <w:sz w:val="24"/>
          <w:szCs w:val="24"/>
        </w:rPr>
        <w:footnoteReference w:id="1"/>
      </w:r>
      <w:r w:rsidRPr="0041586B">
        <w:rPr>
          <w:sz w:val="24"/>
          <w:szCs w:val="24"/>
        </w:rPr>
        <w:t xml:space="preserve"> </w:t>
      </w:r>
      <w:r w:rsidRPr="0041586B">
        <w:rPr>
          <w:rStyle w:val="FootnoteReference"/>
          <w:sz w:val="24"/>
          <w:szCs w:val="24"/>
        </w:rPr>
        <w:footnoteReference w:id="2"/>
      </w:r>
    </w:p>
    <w:p w:rsidR="00550F52" w:rsidRDefault="00550F52" w:rsidP="00F018BC">
      <w:pPr>
        <w:pStyle w:val="Heading2"/>
      </w:pPr>
      <w:bookmarkStart w:id="4" w:name="_Toc395275923"/>
      <w:r w:rsidRPr="0041586B">
        <w:t>Top 10 Sectors (2013)</w:t>
      </w:r>
      <w:bookmarkEnd w:id="4"/>
    </w:p>
    <w:p w:rsidR="006719A6" w:rsidRDefault="006719A6" w:rsidP="00EB0173">
      <w:pPr>
        <w:pStyle w:val="Caption"/>
        <w:keepNext/>
        <w:spacing w:after="0"/>
        <w:jc w:val="both"/>
        <w:rPr>
          <w:color w:val="auto"/>
        </w:rPr>
      </w:pPr>
    </w:p>
    <w:p w:rsidR="006719A6" w:rsidRDefault="006719A6" w:rsidP="00EB0173">
      <w:pPr>
        <w:pStyle w:val="Caption"/>
        <w:keepNext/>
        <w:jc w:val="both"/>
        <w:rPr>
          <w:color w:val="auto"/>
        </w:rPr>
      </w:pPr>
      <w:r w:rsidRPr="006719A6">
        <w:rPr>
          <w:color w:val="auto"/>
        </w:rPr>
        <w:t xml:space="preserve">Table </w:t>
      </w:r>
      <w:r w:rsidRPr="006719A6">
        <w:rPr>
          <w:color w:val="auto"/>
        </w:rPr>
        <w:fldChar w:fldCharType="begin"/>
      </w:r>
      <w:r w:rsidRPr="006719A6">
        <w:rPr>
          <w:color w:val="auto"/>
        </w:rPr>
        <w:instrText xml:space="preserve"> SEQ Table \* ARABIC </w:instrText>
      </w:r>
      <w:r w:rsidRPr="006719A6">
        <w:rPr>
          <w:color w:val="auto"/>
        </w:rPr>
        <w:fldChar w:fldCharType="separate"/>
      </w:r>
      <w:r w:rsidR="00B91CD4">
        <w:rPr>
          <w:noProof/>
          <w:color w:val="auto"/>
        </w:rPr>
        <w:t>1</w:t>
      </w:r>
      <w:r w:rsidRPr="006719A6">
        <w:rPr>
          <w:color w:val="auto"/>
        </w:rPr>
        <w:fldChar w:fldCharType="end"/>
      </w:r>
    </w:p>
    <w:tbl>
      <w:tblPr>
        <w:tblStyle w:val="LightShading-Accent5"/>
        <w:tblW w:w="9018" w:type="dxa"/>
        <w:tblLook w:val="04A0" w:firstRow="1" w:lastRow="0" w:firstColumn="1" w:lastColumn="0" w:noHBand="0" w:noVBand="1"/>
      </w:tblPr>
      <w:tblGrid>
        <w:gridCol w:w="675"/>
        <w:gridCol w:w="4014"/>
        <w:gridCol w:w="4329"/>
      </w:tblGrid>
      <w:tr w:rsidR="00550F52" w:rsidRPr="0041586B" w:rsidTr="00671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rPr>
                <w:b w:val="0"/>
              </w:rPr>
            </w:pPr>
            <w:r w:rsidRPr="00634EB3">
              <w:t>Rank</w:t>
            </w:r>
          </w:p>
        </w:tc>
        <w:tc>
          <w:tcPr>
            <w:tcW w:w="0" w:type="auto"/>
          </w:tcPr>
          <w:p w:rsidR="00550F52" w:rsidRPr="00634EB3" w:rsidRDefault="00550F52" w:rsidP="00EB0173">
            <w:pPr>
              <w:jc w:val="both"/>
              <w:cnfStyle w:val="100000000000" w:firstRow="1" w:lastRow="0" w:firstColumn="0" w:lastColumn="0" w:oddVBand="0" w:evenVBand="0" w:oddHBand="0" w:evenHBand="0" w:firstRowFirstColumn="0" w:firstRowLastColumn="0" w:lastRowFirstColumn="0" w:lastRowLastColumn="0"/>
              <w:rPr>
                <w:b w:val="0"/>
              </w:rPr>
            </w:pPr>
            <w:r w:rsidRPr="00634EB3">
              <w:t>Northeast Georgia Region (4</w:t>
            </w:r>
            <w:r w:rsidRPr="00634EB3">
              <w:rPr>
                <w:vertAlign w:val="superscript"/>
              </w:rPr>
              <w:t>th</w:t>
            </w:r>
            <w:r w:rsidRPr="00634EB3">
              <w:t xml:space="preserve"> Quarter)</w:t>
            </w:r>
          </w:p>
        </w:tc>
        <w:tc>
          <w:tcPr>
            <w:tcW w:w="4317" w:type="dxa"/>
          </w:tcPr>
          <w:p w:rsidR="00550F52" w:rsidRPr="00634EB3" w:rsidRDefault="00550F52" w:rsidP="00EB0173">
            <w:pPr>
              <w:jc w:val="both"/>
              <w:cnfStyle w:val="100000000000" w:firstRow="1" w:lastRow="0" w:firstColumn="0" w:lastColumn="0" w:oddVBand="0" w:evenVBand="0" w:oddHBand="0" w:evenHBand="0" w:firstRowFirstColumn="0" w:firstRowLastColumn="0" w:lastRowFirstColumn="0" w:lastRowLastColumn="0"/>
              <w:rPr>
                <w:b w:val="0"/>
              </w:rPr>
            </w:pPr>
            <w:r w:rsidRPr="00634EB3">
              <w:t>Georgia (Year)</w:t>
            </w:r>
          </w:p>
        </w:tc>
      </w:tr>
      <w:tr w:rsidR="00550F52" w:rsidRPr="0041586B" w:rsidTr="00671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r w:rsidRPr="00634EB3">
              <w:t>1</w:t>
            </w:r>
          </w:p>
        </w:tc>
        <w:tc>
          <w:tcPr>
            <w:tcW w:w="0" w:type="auto"/>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Government</w:t>
            </w:r>
          </w:p>
        </w:tc>
        <w:tc>
          <w:tcPr>
            <w:tcW w:w="4317" w:type="dxa"/>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Government</w:t>
            </w:r>
          </w:p>
        </w:tc>
      </w:tr>
      <w:tr w:rsidR="00550F52" w:rsidRPr="0041586B" w:rsidTr="006719A6">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r w:rsidRPr="00634EB3">
              <w:t>2</w:t>
            </w:r>
          </w:p>
        </w:tc>
        <w:tc>
          <w:tcPr>
            <w:tcW w:w="0" w:type="auto"/>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Trade/Transportation/Utilities</w:t>
            </w:r>
          </w:p>
        </w:tc>
        <w:tc>
          <w:tcPr>
            <w:tcW w:w="4317" w:type="dxa"/>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Retail Trade</w:t>
            </w:r>
          </w:p>
        </w:tc>
      </w:tr>
      <w:tr w:rsidR="00550F52" w:rsidRPr="0041586B" w:rsidTr="00671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r w:rsidRPr="00634EB3">
              <w:t>3</w:t>
            </w:r>
          </w:p>
        </w:tc>
        <w:tc>
          <w:tcPr>
            <w:tcW w:w="0" w:type="auto"/>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Manufacturing</w:t>
            </w:r>
          </w:p>
        </w:tc>
        <w:tc>
          <w:tcPr>
            <w:tcW w:w="4317" w:type="dxa"/>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Health Care and Social Services</w:t>
            </w:r>
          </w:p>
        </w:tc>
      </w:tr>
      <w:tr w:rsidR="00550F52" w:rsidRPr="0041586B" w:rsidTr="006719A6">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r w:rsidRPr="00634EB3">
              <w:t>4</w:t>
            </w:r>
          </w:p>
        </w:tc>
        <w:tc>
          <w:tcPr>
            <w:tcW w:w="0" w:type="auto"/>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Education and Health Services</w:t>
            </w:r>
          </w:p>
        </w:tc>
        <w:tc>
          <w:tcPr>
            <w:tcW w:w="4317" w:type="dxa"/>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Accommodation and food services</w:t>
            </w:r>
          </w:p>
        </w:tc>
      </w:tr>
      <w:tr w:rsidR="00550F52" w:rsidRPr="0041586B" w:rsidTr="00671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r w:rsidRPr="00634EB3">
              <w:t>5</w:t>
            </w:r>
          </w:p>
        </w:tc>
        <w:tc>
          <w:tcPr>
            <w:tcW w:w="0" w:type="auto"/>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Leisure and Hospitality</w:t>
            </w:r>
          </w:p>
        </w:tc>
        <w:tc>
          <w:tcPr>
            <w:tcW w:w="4317" w:type="dxa"/>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Manufacturing</w:t>
            </w:r>
          </w:p>
        </w:tc>
      </w:tr>
      <w:tr w:rsidR="00550F52" w:rsidRPr="0041586B" w:rsidTr="006719A6">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r w:rsidRPr="00634EB3">
              <w:t>6</w:t>
            </w:r>
          </w:p>
        </w:tc>
        <w:tc>
          <w:tcPr>
            <w:tcW w:w="0" w:type="auto"/>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Professional and Business Services</w:t>
            </w:r>
          </w:p>
        </w:tc>
        <w:tc>
          <w:tcPr>
            <w:tcW w:w="4317" w:type="dxa"/>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Administrative/waste services</w:t>
            </w:r>
          </w:p>
        </w:tc>
      </w:tr>
      <w:tr w:rsidR="00550F52" w:rsidRPr="0041586B" w:rsidTr="00671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r w:rsidRPr="00634EB3">
              <w:t>7</w:t>
            </w:r>
          </w:p>
        </w:tc>
        <w:tc>
          <w:tcPr>
            <w:tcW w:w="0" w:type="auto"/>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Construction</w:t>
            </w:r>
          </w:p>
        </w:tc>
        <w:tc>
          <w:tcPr>
            <w:tcW w:w="4317" w:type="dxa"/>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Professional, scientific/tech services</w:t>
            </w:r>
          </w:p>
        </w:tc>
      </w:tr>
      <w:tr w:rsidR="00550F52" w:rsidRPr="0041586B" w:rsidTr="006719A6">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r w:rsidRPr="00634EB3">
              <w:t>8</w:t>
            </w:r>
          </w:p>
        </w:tc>
        <w:tc>
          <w:tcPr>
            <w:tcW w:w="0" w:type="auto"/>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Financial Activities</w:t>
            </w:r>
          </w:p>
        </w:tc>
        <w:tc>
          <w:tcPr>
            <w:tcW w:w="4317" w:type="dxa"/>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Wholesale Trade</w:t>
            </w:r>
          </w:p>
        </w:tc>
      </w:tr>
      <w:tr w:rsidR="00550F52" w:rsidRPr="0041586B" w:rsidTr="00671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r w:rsidRPr="00634EB3">
              <w:t>9</w:t>
            </w:r>
          </w:p>
        </w:tc>
        <w:tc>
          <w:tcPr>
            <w:tcW w:w="0" w:type="auto"/>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Other Services</w:t>
            </w:r>
          </w:p>
        </w:tc>
        <w:tc>
          <w:tcPr>
            <w:tcW w:w="4317" w:type="dxa"/>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Finance and insurance</w:t>
            </w:r>
          </w:p>
        </w:tc>
      </w:tr>
      <w:tr w:rsidR="00550F52" w:rsidRPr="0041586B" w:rsidTr="006719A6">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r w:rsidRPr="00634EB3">
              <w:t>10</w:t>
            </w:r>
          </w:p>
        </w:tc>
        <w:tc>
          <w:tcPr>
            <w:tcW w:w="0" w:type="auto"/>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Natural Resources, Mining and Agriculture</w:t>
            </w:r>
          </w:p>
        </w:tc>
        <w:tc>
          <w:tcPr>
            <w:tcW w:w="4317" w:type="dxa"/>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Construction</w:t>
            </w:r>
          </w:p>
        </w:tc>
      </w:tr>
      <w:tr w:rsidR="002912DA" w:rsidRPr="0041586B" w:rsidTr="0063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8" w:type="dxa"/>
            <w:gridSpan w:val="3"/>
          </w:tcPr>
          <w:p w:rsidR="002912DA" w:rsidRPr="00A375A3" w:rsidRDefault="002912DA" w:rsidP="00EB0173">
            <w:pPr>
              <w:jc w:val="both"/>
              <w:rPr>
                <w:b w:val="0"/>
                <w:sz w:val="18"/>
                <w:szCs w:val="18"/>
              </w:rPr>
            </w:pPr>
            <w:r w:rsidRPr="00A375A3">
              <w:rPr>
                <w:b w:val="0"/>
                <w:sz w:val="18"/>
                <w:szCs w:val="18"/>
              </w:rPr>
              <w:t>Sources:  Georgia Department of Labor Area Labor Profile for Northeast Georgia; Georgia Department of Labor, Labor Market Statistics, Employment and Wages Program for 2013</w:t>
            </w:r>
          </w:p>
        </w:tc>
      </w:tr>
    </w:tbl>
    <w:p w:rsidR="002912DA" w:rsidRPr="0041586B" w:rsidRDefault="002912DA" w:rsidP="00F018BC">
      <w:pPr>
        <w:pStyle w:val="Heading2"/>
      </w:pPr>
    </w:p>
    <w:p w:rsidR="002912DA" w:rsidRPr="0041586B" w:rsidRDefault="002912DA" w:rsidP="00EB0173">
      <w:pPr>
        <w:spacing w:line="240" w:lineRule="auto"/>
        <w:jc w:val="both"/>
        <w:rPr>
          <w:rFonts w:eastAsiaTheme="majorEastAsia" w:cstheme="majorBidi"/>
          <w:b/>
          <w:bCs/>
          <w:sz w:val="24"/>
          <w:szCs w:val="24"/>
        </w:rPr>
      </w:pPr>
      <w:r w:rsidRPr="0041586B">
        <w:rPr>
          <w:sz w:val="24"/>
          <w:szCs w:val="24"/>
        </w:rPr>
        <w:br w:type="page"/>
      </w:r>
    </w:p>
    <w:p w:rsidR="00550F52" w:rsidRPr="0041586B" w:rsidRDefault="00550F52" w:rsidP="00F018BC">
      <w:pPr>
        <w:pStyle w:val="Heading2"/>
      </w:pPr>
      <w:bookmarkStart w:id="5" w:name="_Toc395275924"/>
      <w:r w:rsidRPr="0041586B">
        <w:lastRenderedPageBreak/>
        <w:t>Employment Wage Statistics (2013)</w:t>
      </w:r>
      <w:bookmarkEnd w:id="5"/>
    </w:p>
    <w:p w:rsidR="00550F52" w:rsidRPr="0041586B" w:rsidRDefault="00550F52" w:rsidP="00EB0173">
      <w:pPr>
        <w:spacing w:line="240" w:lineRule="auto"/>
        <w:jc w:val="both"/>
        <w:rPr>
          <w:sz w:val="24"/>
          <w:szCs w:val="24"/>
        </w:rPr>
      </w:pPr>
      <w:r w:rsidRPr="0041586B">
        <w:rPr>
          <w:sz w:val="24"/>
          <w:szCs w:val="24"/>
        </w:rPr>
        <w:t>Wages for Northeast Georgia fall below wages statewide:</w:t>
      </w:r>
    </w:p>
    <w:p w:rsidR="006719A6" w:rsidRPr="006719A6" w:rsidRDefault="006719A6" w:rsidP="00EB0173">
      <w:pPr>
        <w:pStyle w:val="Caption"/>
        <w:keepNext/>
        <w:jc w:val="both"/>
        <w:rPr>
          <w:color w:val="auto"/>
        </w:rPr>
      </w:pPr>
      <w:r w:rsidRPr="006719A6">
        <w:rPr>
          <w:color w:val="auto"/>
        </w:rPr>
        <w:t xml:space="preserve">Table </w:t>
      </w:r>
      <w:r w:rsidRPr="006719A6">
        <w:rPr>
          <w:color w:val="auto"/>
        </w:rPr>
        <w:fldChar w:fldCharType="begin"/>
      </w:r>
      <w:r w:rsidRPr="006719A6">
        <w:rPr>
          <w:color w:val="auto"/>
        </w:rPr>
        <w:instrText xml:space="preserve"> SEQ Table \* ARABIC </w:instrText>
      </w:r>
      <w:r w:rsidRPr="006719A6">
        <w:rPr>
          <w:color w:val="auto"/>
        </w:rPr>
        <w:fldChar w:fldCharType="separate"/>
      </w:r>
      <w:r w:rsidR="00B91CD4">
        <w:rPr>
          <w:noProof/>
          <w:color w:val="auto"/>
        </w:rPr>
        <w:t>2</w:t>
      </w:r>
      <w:r w:rsidRPr="006719A6">
        <w:rPr>
          <w:color w:val="auto"/>
        </w:rPr>
        <w:fldChar w:fldCharType="end"/>
      </w:r>
    </w:p>
    <w:tbl>
      <w:tblPr>
        <w:tblStyle w:val="LightShading-Accent5"/>
        <w:tblW w:w="0" w:type="auto"/>
        <w:tblLook w:val="04A0" w:firstRow="1" w:lastRow="0" w:firstColumn="1" w:lastColumn="0" w:noHBand="0" w:noVBand="1"/>
      </w:tblPr>
      <w:tblGrid>
        <w:gridCol w:w="2211"/>
        <w:gridCol w:w="2421"/>
        <w:gridCol w:w="2488"/>
        <w:gridCol w:w="2456"/>
      </w:tblGrid>
      <w:tr w:rsidR="00550F52" w:rsidRPr="0041586B" w:rsidTr="00634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p>
        </w:tc>
        <w:tc>
          <w:tcPr>
            <w:tcW w:w="0" w:type="auto"/>
          </w:tcPr>
          <w:p w:rsidR="00550F52" w:rsidRPr="00634EB3" w:rsidRDefault="00550F52" w:rsidP="00EB0173">
            <w:pPr>
              <w:jc w:val="both"/>
              <w:cnfStyle w:val="100000000000" w:firstRow="1" w:lastRow="0" w:firstColumn="0" w:lastColumn="0" w:oddVBand="0" w:evenVBand="0" w:oddHBand="0" w:evenHBand="0" w:firstRowFirstColumn="0" w:firstRowLastColumn="0" w:lastRowFirstColumn="0" w:lastRowLastColumn="0"/>
              <w:rPr>
                <w:b w:val="0"/>
              </w:rPr>
            </w:pPr>
            <w:r w:rsidRPr="00634EB3">
              <w:t>Average Hourly Wage</w:t>
            </w:r>
          </w:p>
        </w:tc>
        <w:tc>
          <w:tcPr>
            <w:tcW w:w="0" w:type="auto"/>
          </w:tcPr>
          <w:p w:rsidR="00550F52" w:rsidRPr="00634EB3" w:rsidRDefault="00550F52" w:rsidP="00EB0173">
            <w:pPr>
              <w:jc w:val="both"/>
              <w:cnfStyle w:val="100000000000" w:firstRow="1" w:lastRow="0" w:firstColumn="0" w:lastColumn="0" w:oddVBand="0" w:evenVBand="0" w:oddHBand="0" w:evenHBand="0" w:firstRowFirstColumn="0" w:firstRowLastColumn="0" w:lastRowFirstColumn="0" w:lastRowLastColumn="0"/>
              <w:rPr>
                <w:b w:val="0"/>
              </w:rPr>
            </w:pPr>
            <w:r w:rsidRPr="00634EB3">
              <w:t>Average Weekly Wage</w:t>
            </w:r>
          </w:p>
        </w:tc>
        <w:tc>
          <w:tcPr>
            <w:tcW w:w="0" w:type="auto"/>
          </w:tcPr>
          <w:p w:rsidR="00550F52" w:rsidRPr="00634EB3" w:rsidRDefault="00550F52" w:rsidP="00EB0173">
            <w:pPr>
              <w:jc w:val="both"/>
              <w:cnfStyle w:val="100000000000" w:firstRow="1" w:lastRow="0" w:firstColumn="0" w:lastColumn="0" w:oddVBand="0" w:evenVBand="0" w:oddHBand="0" w:evenHBand="0" w:firstRowFirstColumn="0" w:firstRowLastColumn="0" w:lastRowFirstColumn="0" w:lastRowLastColumn="0"/>
              <w:rPr>
                <w:b w:val="0"/>
              </w:rPr>
            </w:pPr>
            <w:r w:rsidRPr="00634EB3">
              <w:t>Average Annual Wage</w:t>
            </w:r>
          </w:p>
        </w:tc>
      </w:tr>
      <w:tr w:rsidR="00550F52" w:rsidRPr="0041586B" w:rsidTr="0063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pPr>
            <w:r w:rsidRPr="00634EB3">
              <w:t xml:space="preserve">Northeast Georgia </w:t>
            </w:r>
          </w:p>
          <w:p w:rsidR="00550F52" w:rsidRPr="00634EB3" w:rsidRDefault="00550F52" w:rsidP="00EB0173">
            <w:pPr>
              <w:jc w:val="both"/>
              <w:rPr>
                <w:b w:val="0"/>
              </w:rPr>
            </w:pPr>
            <w:r w:rsidRPr="00634EB3">
              <w:t>(4</w:t>
            </w:r>
            <w:r w:rsidRPr="00634EB3">
              <w:rPr>
                <w:vertAlign w:val="superscript"/>
              </w:rPr>
              <w:t>th</w:t>
            </w:r>
            <w:r w:rsidRPr="00634EB3">
              <w:t xml:space="preserve"> Quarter)</w:t>
            </w:r>
          </w:p>
        </w:tc>
        <w:tc>
          <w:tcPr>
            <w:tcW w:w="0" w:type="auto"/>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$17.98</w:t>
            </w:r>
          </w:p>
        </w:tc>
        <w:tc>
          <w:tcPr>
            <w:tcW w:w="0" w:type="auto"/>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$719</w:t>
            </w:r>
          </w:p>
        </w:tc>
        <w:tc>
          <w:tcPr>
            <w:tcW w:w="0" w:type="auto"/>
          </w:tcPr>
          <w:p w:rsidR="00550F52" w:rsidRPr="00634EB3" w:rsidRDefault="00550F52" w:rsidP="00EB0173">
            <w:pPr>
              <w:jc w:val="both"/>
              <w:cnfStyle w:val="000000100000" w:firstRow="0" w:lastRow="0" w:firstColumn="0" w:lastColumn="0" w:oddVBand="0" w:evenVBand="0" w:oddHBand="1" w:evenHBand="0" w:firstRowFirstColumn="0" w:firstRowLastColumn="0" w:lastRowFirstColumn="0" w:lastRowLastColumn="0"/>
            </w:pPr>
            <w:r w:rsidRPr="00634EB3">
              <w:t>$37,388</w:t>
            </w:r>
          </w:p>
        </w:tc>
      </w:tr>
      <w:tr w:rsidR="00550F52" w:rsidRPr="0041586B" w:rsidTr="00634EB3">
        <w:tc>
          <w:tcPr>
            <w:cnfStyle w:val="001000000000" w:firstRow="0" w:lastRow="0" w:firstColumn="1" w:lastColumn="0" w:oddVBand="0" w:evenVBand="0" w:oddHBand="0" w:evenHBand="0" w:firstRowFirstColumn="0" w:firstRowLastColumn="0" w:lastRowFirstColumn="0" w:lastRowLastColumn="0"/>
            <w:tcW w:w="0" w:type="auto"/>
          </w:tcPr>
          <w:p w:rsidR="00550F52" w:rsidRPr="00634EB3" w:rsidRDefault="00550F52" w:rsidP="00EB0173">
            <w:pPr>
              <w:jc w:val="both"/>
              <w:rPr>
                <w:b w:val="0"/>
              </w:rPr>
            </w:pPr>
            <w:r w:rsidRPr="00634EB3">
              <w:t>Georgia</w:t>
            </w:r>
            <w:r w:rsidRPr="00634EB3">
              <w:br/>
              <w:t>(Yearly)</w:t>
            </w:r>
          </w:p>
        </w:tc>
        <w:tc>
          <w:tcPr>
            <w:tcW w:w="0" w:type="auto"/>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$22.48</w:t>
            </w:r>
          </w:p>
        </w:tc>
        <w:tc>
          <w:tcPr>
            <w:tcW w:w="0" w:type="auto"/>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$899</w:t>
            </w:r>
          </w:p>
        </w:tc>
        <w:tc>
          <w:tcPr>
            <w:tcW w:w="0" w:type="auto"/>
          </w:tcPr>
          <w:p w:rsidR="00550F52" w:rsidRPr="00634EB3" w:rsidRDefault="00550F52" w:rsidP="00EB0173">
            <w:pPr>
              <w:jc w:val="both"/>
              <w:cnfStyle w:val="000000000000" w:firstRow="0" w:lastRow="0" w:firstColumn="0" w:lastColumn="0" w:oddVBand="0" w:evenVBand="0" w:oddHBand="0" w:evenHBand="0" w:firstRowFirstColumn="0" w:firstRowLastColumn="0" w:lastRowFirstColumn="0" w:lastRowLastColumn="0"/>
            </w:pPr>
            <w:r w:rsidRPr="00634EB3">
              <w:t>$46,748</w:t>
            </w:r>
          </w:p>
        </w:tc>
      </w:tr>
      <w:tr w:rsidR="002912DA" w:rsidRPr="0041586B" w:rsidTr="00634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2912DA" w:rsidRPr="007E762D" w:rsidRDefault="002912DA" w:rsidP="00EB0173">
            <w:pPr>
              <w:jc w:val="both"/>
              <w:rPr>
                <w:b w:val="0"/>
                <w:sz w:val="18"/>
                <w:szCs w:val="18"/>
              </w:rPr>
            </w:pPr>
            <w:r w:rsidRPr="007E762D">
              <w:rPr>
                <w:b w:val="0"/>
                <w:sz w:val="18"/>
                <w:szCs w:val="18"/>
              </w:rPr>
              <w:t>Sources:  Georgia Department of Labor Area Labor Profile for Northeast Georgia; Georgia Department of Labor, Labor Market Statistics, Employment and Wages Program for 2013</w:t>
            </w:r>
          </w:p>
        </w:tc>
      </w:tr>
    </w:tbl>
    <w:p w:rsidR="00550F52" w:rsidRPr="0041586B" w:rsidRDefault="00550F52" w:rsidP="00F018BC">
      <w:pPr>
        <w:pStyle w:val="Heading2"/>
      </w:pPr>
      <w:bookmarkStart w:id="6" w:name="_Toc395275925"/>
      <w:r w:rsidRPr="0041586B">
        <w:t>Unemployment Rate</w:t>
      </w:r>
      <w:bookmarkEnd w:id="6"/>
    </w:p>
    <w:p w:rsidR="00550F52" w:rsidRPr="0041586B" w:rsidRDefault="00550F52" w:rsidP="00EB0173">
      <w:pPr>
        <w:spacing w:line="240" w:lineRule="auto"/>
        <w:jc w:val="both"/>
        <w:rPr>
          <w:sz w:val="24"/>
          <w:szCs w:val="24"/>
        </w:rPr>
      </w:pPr>
      <w:r w:rsidRPr="0041586B">
        <w:rPr>
          <w:sz w:val="24"/>
          <w:szCs w:val="24"/>
        </w:rPr>
        <w:t xml:space="preserve">Northeast Georgia’s unemployment rate has been steadily declining since the high of near 10% during the recession of 2008/2009. It is currently declining at a faster rate than the both state of Georgia and the United States over the past two years (2012 and 2013), and the unemployment rate for 2013 was below both national and state averages.  </w:t>
      </w:r>
    </w:p>
    <w:p w:rsidR="006719A6" w:rsidRPr="006719A6" w:rsidRDefault="006719A6" w:rsidP="00EB0173">
      <w:pPr>
        <w:pStyle w:val="Caption"/>
        <w:keepNext/>
        <w:jc w:val="both"/>
        <w:rPr>
          <w:color w:val="auto"/>
        </w:rPr>
      </w:pPr>
      <w:r w:rsidRPr="006719A6">
        <w:rPr>
          <w:color w:val="auto"/>
        </w:rPr>
        <w:t xml:space="preserve">Table </w:t>
      </w:r>
      <w:r w:rsidRPr="006719A6">
        <w:rPr>
          <w:color w:val="auto"/>
        </w:rPr>
        <w:fldChar w:fldCharType="begin"/>
      </w:r>
      <w:r w:rsidRPr="006719A6">
        <w:rPr>
          <w:color w:val="auto"/>
        </w:rPr>
        <w:instrText xml:space="preserve"> SEQ Table \* ARABIC </w:instrText>
      </w:r>
      <w:r w:rsidRPr="006719A6">
        <w:rPr>
          <w:color w:val="auto"/>
        </w:rPr>
        <w:fldChar w:fldCharType="separate"/>
      </w:r>
      <w:r w:rsidR="00B91CD4">
        <w:rPr>
          <w:noProof/>
          <w:color w:val="auto"/>
        </w:rPr>
        <w:t>3</w:t>
      </w:r>
      <w:r w:rsidRPr="006719A6">
        <w:rPr>
          <w:color w:val="auto"/>
        </w:rPr>
        <w:fldChar w:fldCharType="end"/>
      </w:r>
    </w:p>
    <w:tbl>
      <w:tblPr>
        <w:tblStyle w:val="LightShading-Accent5"/>
        <w:tblW w:w="0" w:type="auto"/>
        <w:tblLook w:val="04A0" w:firstRow="1" w:lastRow="0" w:firstColumn="1" w:lastColumn="0" w:noHBand="0" w:noVBand="1"/>
      </w:tblPr>
      <w:tblGrid>
        <w:gridCol w:w="1900"/>
        <w:gridCol w:w="873"/>
        <w:gridCol w:w="873"/>
        <w:gridCol w:w="1103"/>
      </w:tblGrid>
      <w:tr w:rsidR="00550F52" w:rsidRPr="0041586B" w:rsidTr="00671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F52" w:rsidRPr="0041586B" w:rsidRDefault="00550F52" w:rsidP="00EB0173">
            <w:pPr>
              <w:jc w:val="both"/>
            </w:pPr>
          </w:p>
        </w:tc>
        <w:tc>
          <w:tcPr>
            <w:tcW w:w="0" w:type="auto"/>
          </w:tcPr>
          <w:p w:rsidR="00550F52" w:rsidRPr="0041586B" w:rsidRDefault="00550F52" w:rsidP="00EB0173">
            <w:pPr>
              <w:jc w:val="both"/>
              <w:cnfStyle w:val="100000000000" w:firstRow="1" w:lastRow="0" w:firstColumn="0" w:lastColumn="0" w:oddVBand="0" w:evenVBand="0" w:oddHBand="0" w:evenHBand="0" w:firstRowFirstColumn="0" w:firstRowLastColumn="0" w:lastRowFirstColumn="0" w:lastRowLastColumn="0"/>
              <w:rPr>
                <w:b w:val="0"/>
              </w:rPr>
            </w:pPr>
            <w:r w:rsidRPr="0041586B">
              <w:t>% 2012</w:t>
            </w:r>
          </w:p>
        </w:tc>
        <w:tc>
          <w:tcPr>
            <w:tcW w:w="0" w:type="auto"/>
          </w:tcPr>
          <w:p w:rsidR="00550F52" w:rsidRPr="0041586B" w:rsidRDefault="00550F52" w:rsidP="00EB0173">
            <w:pPr>
              <w:jc w:val="both"/>
              <w:cnfStyle w:val="100000000000" w:firstRow="1" w:lastRow="0" w:firstColumn="0" w:lastColumn="0" w:oddVBand="0" w:evenVBand="0" w:oddHBand="0" w:evenHBand="0" w:firstRowFirstColumn="0" w:firstRowLastColumn="0" w:lastRowFirstColumn="0" w:lastRowLastColumn="0"/>
              <w:rPr>
                <w:b w:val="0"/>
              </w:rPr>
            </w:pPr>
            <w:r w:rsidRPr="0041586B">
              <w:t>% 2013</w:t>
            </w:r>
          </w:p>
        </w:tc>
        <w:tc>
          <w:tcPr>
            <w:tcW w:w="0" w:type="auto"/>
          </w:tcPr>
          <w:p w:rsidR="00550F52" w:rsidRPr="0041586B" w:rsidRDefault="00550F52" w:rsidP="00EB0173">
            <w:pPr>
              <w:jc w:val="both"/>
              <w:cnfStyle w:val="100000000000" w:firstRow="1" w:lastRow="0" w:firstColumn="0" w:lastColumn="0" w:oddVBand="0" w:evenVBand="0" w:oddHBand="0" w:evenHBand="0" w:firstRowFirstColumn="0" w:firstRowLastColumn="0" w:lastRowFirstColumn="0" w:lastRowLastColumn="0"/>
              <w:rPr>
                <w:b w:val="0"/>
              </w:rPr>
            </w:pPr>
            <w:r w:rsidRPr="0041586B">
              <w:t>% Change</w:t>
            </w:r>
          </w:p>
        </w:tc>
      </w:tr>
      <w:tr w:rsidR="00550F52" w:rsidRPr="0041586B" w:rsidTr="00671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F52" w:rsidRPr="0041586B" w:rsidRDefault="00550F52" w:rsidP="00EB0173">
            <w:pPr>
              <w:jc w:val="both"/>
              <w:rPr>
                <w:b w:val="0"/>
              </w:rPr>
            </w:pPr>
            <w:r w:rsidRPr="0041586B">
              <w:t>Northeast Georgia</w:t>
            </w:r>
          </w:p>
        </w:tc>
        <w:tc>
          <w:tcPr>
            <w:tcW w:w="0" w:type="auto"/>
          </w:tcPr>
          <w:p w:rsidR="00550F52" w:rsidRPr="0041586B" w:rsidRDefault="00550F52" w:rsidP="00EB0173">
            <w:pPr>
              <w:jc w:val="both"/>
              <w:cnfStyle w:val="000000100000" w:firstRow="0" w:lastRow="0" w:firstColumn="0" w:lastColumn="0" w:oddVBand="0" w:evenVBand="0" w:oddHBand="1" w:evenHBand="0" w:firstRowFirstColumn="0" w:firstRowLastColumn="0" w:lastRowFirstColumn="0" w:lastRowLastColumn="0"/>
            </w:pPr>
            <w:r w:rsidRPr="0041586B">
              <w:t>8.3</w:t>
            </w:r>
          </w:p>
        </w:tc>
        <w:tc>
          <w:tcPr>
            <w:tcW w:w="0" w:type="auto"/>
          </w:tcPr>
          <w:p w:rsidR="00550F52" w:rsidRPr="0041586B" w:rsidRDefault="00550F52" w:rsidP="00EB0173">
            <w:pPr>
              <w:jc w:val="both"/>
              <w:cnfStyle w:val="000000100000" w:firstRow="0" w:lastRow="0" w:firstColumn="0" w:lastColumn="0" w:oddVBand="0" w:evenVBand="0" w:oddHBand="1" w:evenHBand="0" w:firstRowFirstColumn="0" w:firstRowLastColumn="0" w:lastRowFirstColumn="0" w:lastRowLastColumn="0"/>
            </w:pPr>
            <w:r w:rsidRPr="0041586B">
              <w:t>7.3</w:t>
            </w:r>
          </w:p>
        </w:tc>
        <w:tc>
          <w:tcPr>
            <w:tcW w:w="0" w:type="auto"/>
          </w:tcPr>
          <w:p w:rsidR="00550F52" w:rsidRPr="0041586B" w:rsidRDefault="00550F52" w:rsidP="00EB0173">
            <w:pPr>
              <w:jc w:val="both"/>
              <w:cnfStyle w:val="000000100000" w:firstRow="0" w:lastRow="0" w:firstColumn="0" w:lastColumn="0" w:oddVBand="0" w:evenVBand="0" w:oddHBand="1" w:evenHBand="0" w:firstRowFirstColumn="0" w:firstRowLastColumn="0" w:lastRowFirstColumn="0" w:lastRowLastColumn="0"/>
            </w:pPr>
            <w:r w:rsidRPr="0041586B">
              <w:t>-11.5</w:t>
            </w:r>
          </w:p>
        </w:tc>
      </w:tr>
      <w:tr w:rsidR="00550F52" w:rsidRPr="0041586B" w:rsidTr="006719A6">
        <w:tc>
          <w:tcPr>
            <w:cnfStyle w:val="001000000000" w:firstRow="0" w:lastRow="0" w:firstColumn="1" w:lastColumn="0" w:oddVBand="0" w:evenVBand="0" w:oddHBand="0" w:evenHBand="0" w:firstRowFirstColumn="0" w:firstRowLastColumn="0" w:lastRowFirstColumn="0" w:lastRowLastColumn="0"/>
            <w:tcW w:w="0" w:type="auto"/>
          </w:tcPr>
          <w:p w:rsidR="00550F52" w:rsidRPr="0041586B" w:rsidRDefault="00550F52" w:rsidP="00EB0173">
            <w:pPr>
              <w:jc w:val="both"/>
              <w:rPr>
                <w:b w:val="0"/>
              </w:rPr>
            </w:pPr>
            <w:r w:rsidRPr="0041586B">
              <w:t>Georgia</w:t>
            </w:r>
          </w:p>
        </w:tc>
        <w:tc>
          <w:tcPr>
            <w:tcW w:w="0" w:type="auto"/>
          </w:tcPr>
          <w:p w:rsidR="00550F52" w:rsidRPr="0041586B" w:rsidRDefault="00550F52" w:rsidP="00EB0173">
            <w:pPr>
              <w:jc w:val="both"/>
              <w:cnfStyle w:val="000000000000" w:firstRow="0" w:lastRow="0" w:firstColumn="0" w:lastColumn="0" w:oddVBand="0" w:evenVBand="0" w:oddHBand="0" w:evenHBand="0" w:firstRowFirstColumn="0" w:firstRowLastColumn="0" w:lastRowFirstColumn="0" w:lastRowLastColumn="0"/>
            </w:pPr>
            <w:r w:rsidRPr="0041586B">
              <w:t>9.0</w:t>
            </w:r>
          </w:p>
        </w:tc>
        <w:tc>
          <w:tcPr>
            <w:tcW w:w="0" w:type="auto"/>
          </w:tcPr>
          <w:p w:rsidR="00550F52" w:rsidRPr="0041586B" w:rsidRDefault="00550F52" w:rsidP="00EB0173">
            <w:pPr>
              <w:jc w:val="both"/>
              <w:cnfStyle w:val="000000000000" w:firstRow="0" w:lastRow="0" w:firstColumn="0" w:lastColumn="0" w:oddVBand="0" w:evenVBand="0" w:oddHBand="0" w:evenHBand="0" w:firstRowFirstColumn="0" w:firstRowLastColumn="0" w:lastRowFirstColumn="0" w:lastRowLastColumn="0"/>
            </w:pPr>
            <w:r w:rsidRPr="0041586B">
              <w:t>8.2</w:t>
            </w:r>
          </w:p>
        </w:tc>
        <w:tc>
          <w:tcPr>
            <w:tcW w:w="0" w:type="auto"/>
          </w:tcPr>
          <w:p w:rsidR="00550F52" w:rsidRPr="0041586B" w:rsidRDefault="00550F52" w:rsidP="00EB0173">
            <w:pPr>
              <w:jc w:val="both"/>
              <w:cnfStyle w:val="000000000000" w:firstRow="0" w:lastRow="0" w:firstColumn="0" w:lastColumn="0" w:oddVBand="0" w:evenVBand="0" w:oddHBand="0" w:evenHBand="0" w:firstRowFirstColumn="0" w:firstRowLastColumn="0" w:lastRowFirstColumn="0" w:lastRowLastColumn="0"/>
            </w:pPr>
            <w:r w:rsidRPr="0041586B">
              <w:t>-9.4</w:t>
            </w:r>
          </w:p>
        </w:tc>
      </w:tr>
      <w:tr w:rsidR="00550F52" w:rsidRPr="0041586B" w:rsidTr="00671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0F52" w:rsidRPr="0041586B" w:rsidRDefault="00550F52" w:rsidP="00EB0173">
            <w:pPr>
              <w:jc w:val="both"/>
              <w:rPr>
                <w:b w:val="0"/>
              </w:rPr>
            </w:pPr>
            <w:r w:rsidRPr="0041586B">
              <w:t>United States</w:t>
            </w:r>
          </w:p>
        </w:tc>
        <w:tc>
          <w:tcPr>
            <w:tcW w:w="0" w:type="auto"/>
          </w:tcPr>
          <w:p w:rsidR="00550F52" w:rsidRPr="0041586B" w:rsidRDefault="00550F52" w:rsidP="00EB0173">
            <w:pPr>
              <w:jc w:val="both"/>
              <w:cnfStyle w:val="000000100000" w:firstRow="0" w:lastRow="0" w:firstColumn="0" w:lastColumn="0" w:oddVBand="0" w:evenVBand="0" w:oddHBand="1" w:evenHBand="0" w:firstRowFirstColumn="0" w:firstRowLastColumn="0" w:lastRowFirstColumn="0" w:lastRowLastColumn="0"/>
            </w:pPr>
            <w:r w:rsidRPr="0041586B">
              <w:t>8.1</w:t>
            </w:r>
          </w:p>
        </w:tc>
        <w:tc>
          <w:tcPr>
            <w:tcW w:w="0" w:type="auto"/>
          </w:tcPr>
          <w:p w:rsidR="00550F52" w:rsidRPr="0041586B" w:rsidRDefault="00550F52" w:rsidP="00EB0173">
            <w:pPr>
              <w:jc w:val="both"/>
              <w:cnfStyle w:val="000000100000" w:firstRow="0" w:lastRow="0" w:firstColumn="0" w:lastColumn="0" w:oddVBand="0" w:evenVBand="0" w:oddHBand="1" w:evenHBand="0" w:firstRowFirstColumn="0" w:firstRowLastColumn="0" w:lastRowFirstColumn="0" w:lastRowLastColumn="0"/>
            </w:pPr>
            <w:r w:rsidRPr="0041586B">
              <w:t>7.4</w:t>
            </w:r>
          </w:p>
        </w:tc>
        <w:tc>
          <w:tcPr>
            <w:tcW w:w="0" w:type="auto"/>
          </w:tcPr>
          <w:p w:rsidR="00550F52" w:rsidRPr="0041586B" w:rsidRDefault="00550F52" w:rsidP="00EB0173">
            <w:pPr>
              <w:jc w:val="both"/>
              <w:cnfStyle w:val="000000100000" w:firstRow="0" w:lastRow="0" w:firstColumn="0" w:lastColumn="0" w:oddVBand="0" w:evenVBand="0" w:oddHBand="1" w:evenHBand="0" w:firstRowFirstColumn="0" w:firstRowLastColumn="0" w:lastRowFirstColumn="0" w:lastRowLastColumn="0"/>
            </w:pPr>
            <w:r w:rsidRPr="0041586B">
              <w:t>-8.4</w:t>
            </w:r>
          </w:p>
        </w:tc>
      </w:tr>
    </w:tbl>
    <w:p w:rsidR="00550F52" w:rsidRPr="0041586B" w:rsidRDefault="00550F52" w:rsidP="00EB0173">
      <w:pPr>
        <w:spacing w:line="240" w:lineRule="auto"/>
        <w:jc w:val="both"/>
        <w:rPr>
          <w:sz w:val="24"/>
          <w:szCs w:val="24"/>
        </w:rPr>
      </w:pPr>
    </w:p>
    <w:p w:rsidR="00BB4581" w:rsidRPr="00BB4581" w:rsidRDefault="00BB4581" w:rsidP="00EB0173">
      <w:pPr>
        <w:pStyle w:val="Caption"/>
        <w:keepNext/>
        <w:jc w:val="both"/>
        <w:rPr>
          <w:color w:val="auto"/>
        </w:rPr>
      </w:pPr>
      <w:r w:rsidRPr="00BB4581">
        <w:rPr>
          <w:color w:val="auto"/>
        </w:rPr>
        <w:lastRenderedPageBreak/>
        <w:t xml:space="preserve">Figure </w:t>
      </w:r>
      <w:r w:rsidRPr="00BB4581">
        <w:rPr>
          <w:color w:val="auto"/>
        </w:rPr>
        <w:fldChar w:fldCharType="begin"/>
      </w:r>
      <w:r w:rsidRPr="00BB4581">
        <w:rPr>
          <w:color w:val="auto"/>
        </w:rPr>
        <w:instrText xml:space="preserve"> SEQ Figure \* ARABIC </w:instrText>
      </w:r>
      <w:r w:rsidRPr="00BB4581">
        <w:rPr>
          <w:color w:val="auto"/>
        </w:rPr>
        <w:fldChar w:fldCharType="separate"/>
      </w:r>
      <w:r w:rsidR="00B91CD4">
        <w:rPr>
          <w:noProof/>
          <w:color w:val="auto"/>
        </w:rPr>
        <w:t>1</w:t>
      </w:r>
      <w:r w:rsidRPr="00BB4581">
        <w:rPr>
          <w:color w:val="auto"/>
        </w:rPr>
        <w:fldChar w:fldCharType="end"/>
      </w:r>
    </w:p>
    <w:p w:rsidR="00E52244" w:rsidRDefault="00550F52" w:rsidP="00EB0173">
      <w:pPr>
        <w:keepNext/>
        <w:spacing w:line="240" w:lineRule="auto"/>
        <w:jc w:val="both"/>
      </w:pPr>
      <w:r w:rsidRPr="0041586B">
        <w:rPr>
          <w:noProof/>
          <w:sz w:val="24"/>
          <w:szCs w:val="24"/>
        </w:rPr>
        <w:drawing>
          <wp:inline distT="0" distB="0" distL="0" distR="0" wp14:anchorId="59F73A35" wp14:editId="7C80E51B">
            <wp:extent cx="5587200" cy="3880800"/>
            <wp:effectExtent l="0" t="0" r="0" b="57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50F52" w:rsidRPr="0041586B" w:rsidRDefault="00550F52" w:rsidP="00EB0173">
      <w:pPr>
        <w:spacing w:line="240" w:lineRule="auto"/>
        <w:jc w:val="both"/>
        <w:rPr>
          <w:sz w:val="18"/>
          <w:szCs w:val="18"/>
        </w:rPr>
      </w:pPr>
      <w:r w:rsidRPr="0041586B">
        <w:rPr>
          <w:sz w:val="18"/>
          <w:szCs w:val="18"/>
        </w:rPr>
        <w:t>Source:  Georgia Department of Labor, U.S. Bureau of Labor Statistics</w:t>
      </w:r>
    </w:p>
    <w:p w:rsidR="00550F52" w:rsidRPr="0041586B" w:rsidRDefault="00550F52" w:rsidP="00F018BC">
      <w:pPr>
        <w:pStyle w:val="Heading2"/>
      </w:pPr>
      <w:bookmarkStart w:id="7" w:name="_Toc395275926"/>
      <w:r w:rsidRPr="0041586B">
        <w:t>Opportunity Zones</w:t>
      </w:r>
      <w:bookmarkEnd w:id="7"/>
    </w:p>
    <w:p w:rsidR="00550F52" w:rsidRPr="0041586B" w:rsidRDefault="00550F52" w:rsidP="00EB0173">
      <w:pPr>
        <w:spacing w:line="240" w:lineRule="auto"/>
        <w:jc w:val="both"/>
        <w:rPr>
          <w:sz w:val="24"/>
          <w:szCs w:val="24"/>
        </w:rPr>
      </w:pPr>
      <w:r w:rsidRPr="0041586B">
        <w:rPr>
          <w:sz w:val="24"/>
          <w:szCs w:val="24"/>
        </w:rPr>
        <w:t xml:space="preserve">According to DCA, as of July 2014, the following twelve Northeast Georgia communities have designated Opportunity Zones:  </w:t>
      </w:r>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Athens-Clarke County</w:t>
      </w:r>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City of Auburn</w:t>
      </w:r>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City of Commerce</w:t>
      </w:r>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City of Covington</w:t>
      </w:r>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City of Elberton</w:t>
      </w:r>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City of Greensboro</w:t>
      </w:r>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City of Madison</w:t>
      </w:r>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City of Monroe</w:t>
      </w:r>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 xml:space="preserve">City of </w:t>
      </w:r>
      <w:proofErr w:type="spellStart"/>
      <w:r w:rsidRPr="0041586B">
        <w:rPr>
          <w:sz w:val="24"/>
          <w:szCs w:val="24"/>
        </w:rPr>
        <w:t>Porterdale</w:t>
      </w:r>
      <w:proofErr w:type="spellEnd"/>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City of Social Circle</w:t>
      </w:r>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City of Union Point</w:t>
      </w:r>
    </w:p>
    <w:p w:rsidR="00550F52" w:rsidRPr="0041586B" w:rsidRDefault="00550F52" w:rsidP="00EB0173">
      <w:pPr>
        <w:pStyle w:val="ListParagraph"/>
        <w:numPr>
          <w:ilvl w:val="0"/>
          <w:numId w:val="8"/>
        </w:numPr>
        <w:spacing w:line="240" w:lineRule="auto"/>
        <w:jc w:val="both"/>
        <w:rPr>
          <w:sz w:val="24"/>
          <w:szCs w:val="24"/>
        </w:rPr>
      </w:pPr>
      <w:r w:rsidRPr="0041586B">
        <w:rPr>
          <w:sz w:val="24"/>
          <w:szCs w:val="24"/>
        </w:rPr>
        <w:t>Walton County</w:t>
      </w:r>
    </w:p>
    <w:p w:rsidR="00550F52" w:rsidRPr="0041586B" w:rsidRDefault="00550F52" w:rsidP="00EB0173">
      <w:pPr>
        <w:spacing w:line="240" w:lineRule="auto"/>
        <w:jc w:val="both"/>
        <w:rPr>
          <w:sz w:val="24"/>
          <w:szCs w:val="24"/>
        </w:rPr>
      </w:pPr>
      <w:r w:rsidRPr="0041586B">
        <w:rPr>
          <w:sz w:val="24"/>
          <w:szCs w:val="24"/>
        </w:rPr>
        <w:t>Several additional Northeast Georgia communities have fulfilled the application requirements for Opportunity Zone designation, and are awaiting a response from DCA.</w:t>
      </w:r>
    </w:p>
    <w:p w:rsidR="00550F52" w:rsidRPr="0041586B" w:rsidRDefault="00550F52" w:rsidP="00F018BC">
      <w:pPr>
        <w:pStyle w:val="Heading2"/>
      </w:pPr>
      <w:bookmarkStart w:id="8" w:name="_Toc395275927"/>
      <w:r w:rsidRPr="0041586B">
        <w:lastRenderedPageBreak/>
        <w:t>Job Tax Credits</w:t>
      </w:r>
      <w:bookmarkEnd w:id="8"/>
    </w:p>
    <w:p w:rsidR="00550F52" w:rsidRPr="0041586B" w:rsidRDefault="00550F52" w:rsidP="00EB0173">
      <w:pPr>
        <w:spacing w:line="240" w:lineRule="auto"/>
        <w:jc w:val="both"/>
        <w:rPr>
          <w:sz w:val="24"/>
          <w:szCs w:val="24"/>
        </w:rPr>
      </w:pPr>
      <w:r w:rsidRPr="0041586B">
        <w:rPr>
          <w:sz w:val="24"/>
          <w:szCs w:val="24"/>
        </w:rPr>
        <w:t>In 2014, the 159 Georgia counties have been re-ranked into four tiers based on unemployment rate, per capita income, and percentage of residents with incomes below the poverty level. A county’s tier ranking determines the base number of job tax credits available to businesses engaged in manufacturing, warehousing and distribution, processing, telecommunications, broadcasting, tourism, and research and development industries. All businesses, including retail operations, within designated Opportunity Zones are also eligible for these tax credits at the Tier 1 level. In addition, all 12 Northeast Georgia counties are eligible for an additional $500 tax credit per job created, as each is located within the jurisdiction of a Joint Development Authority.</w:t>
      </w:r>
    </w:p>
    <w:p w:rsidR="00550F52" w:rsidRPr="0041586B" w:rsidRDefault="00550F52" w:rsidP="00EB0173">
      <w:pPr>
        <w:pStyle w:val="ListParagraph"/>
        <w:numPr>
          <w:ilvl w:val="0"/>
          <w:numId w:val="7"/>
        </w:numPr>
        <w:spacing w:line="240" w:lineRule="auto"/>
        <w:jc w:val="both"/>
        <w:rPr>
          <w:sz w:val="24"/>
          <w:szCs w:val="24"/>
        </w:rPr>
      </w:pPr>
      <w:r w:rsidRPr="0041586B">
        <w:rPr>
          <w:sz w:val="24"/>
          <w:szCs w:val="24"/>
        </w:rPr>
        <w:t>Tier 1 ($3,500 credit per job, minimum 5 new jobs):  Clarke, Elbert</w:t>
      </w:r>
    </w:p>
    <w:p w:rsidR="00550F52" w:rsidRPr="0041586B" w:rsidRDefault="00550F52" w:rsidP="00EB0173">
      <w:pPr>
        <w:pStyle w:val="ListParagraph"/>
        <w:numPr>
          <w:ilvl w:val="0"/>
          <w:numId w:val="7"/>
        </w:numPr>
        <w:spacing w:line="240" w:lineRule="auto"/>
        <w:jc w:val="both"/>
        <w:rPr>
          <w:sz w:val="24"/>
          <w:szCs w:val="24"/>
        </w:rPr>
      </w:pPr>
      <w:r w:rsidRPr="0041586B">
        <w:rPr>
          <w:sz w:val="24"/>
          <w:szCs w:val="24"/>
        </w:rPr>
        <w:t>Tier 2 ($2,500 credit per job, minimum 10 new jobs):  Jasper, Newton</w:t>
      </w:r>
    </w:p>
    <w:p w:rsidR="00550F52" w:rsidRPr="0041586B" w:rsidRDefault="00550F52" w:rsidP="00EB0173">
      <w:pPr>
        <w:pStyle w:val="ListParagraph"/>
        <w:numPr>
          <w:ilvl w:val="0"/>
          <w:numId w:val="7"/>
        </w:numPr>
        <w:spacing w:line="240" w:lineRule="auto"/>
        <w:jc w:val="both"/>
        <w:rPr>
          <w:sz w:val="24"/>
          <w:szCs w:val="24"/>
        </w:rPr>
      </w:pPr>
      <w:r w:rsidRPr="0041586B">
        <w:rPr>
          <w:sz w:val="24"/>
          <w:szCs w:val="24"/>
        </w:rPr>
        <w:t>Tier 3 ($1,250 credit per job, minimum 15 new jobs):  Barrow, Greene, Jackson, Madison, Morgan, Oglethorpe, Walton</w:t>
      </w:r>
    </w:p>
    <w:p w:rsidR="00550F52" w:rsidRPr="0041586B" w:rsidRDefault="00550F52" w:rsidP="00EB0173">
      <w:pPr>
        <w:pStyle w:val="ListParagraph"/>
        <w:numPr>
          <w:ilvl w:val="0"/>
          <w:numId w:val="7"/>
        </w:numPr>
        <w:spacing w:line="240" w:lineRule="auto"/>
        <w:jc w:val="both"/>
        <w:rPr>
          <w:sz w:val="24"/>
          <w:szCs w:val="24"/>
        </w:rPr>
      </w:pPr>
      <w:r w:rsidRPr="0041586B">
        <w:rPr>
          <w:sz w:val="24"/>
          <w:szCs w:val="24"/>
        </w:rPr>
        <w:t>Tier 4 ($750 credit per job, minimum 25 new jobs):  Oconee</w:t>
      </w:r>
    </w:p>
    <w:p w:rsidR="00550F52" w:rsidRPr="0041586B" w:rsidRDefault="00550F52" w:rsidP="00F018BC">
      <w:pPr>
        <w:pStyle w:val="Heading2"/>
      </w:pPr>
      <w:bookmarkStart w:id="9" w:name="_Toc395275928"/>
      <w:r w:rsidRPr="0041586B">
        <w:t>Joint Development Authorities</w:t>
      </w:r>
      <w:bookmarkEnd w:id="9"/>
    </w:p>
    <w:p w:rsidR="00550F52" w:rsidRDefault="00550F52" w:rsidP="00EB0173">
      <w:pPr>
        <w:spacing w:line="240" w:lineRule="auto"/>
        <w:jc w:val="both"/>
        <w:rPr>
          <w:sz w:val="24"/>
          <w:szCs w:val="24"/>
        </w:rPr>
      </w:pPr>
      <w:r w:rsidRPr="0041586B">
        <w:rPr>
          <w:sz w:val="24"/>
          <w:szCs w:val="24"/>
        </w:rPr>
        <w:t xml:space="preserve">All twelve counties in the region fall under the jurisdiction of at least one </w:t>
      </w:r>
      <w:proofErr w:type="gramStart"/>
      <w:r w:rsidRPr="0041586B">
        <w:rPr>
          <w:sz w:val="24"/>
          <w:szCs w:val="24"/>
        </w:rPr>
        <w:t>of the five Joint Development Authorities (JDA)</w:t>
      </w:r>
      <w:proofErr w:type="gramEnd"/>
      <w:r w:rsidRPr="0041586B">
        <w:rPr>
          <w:sz w:val="24"/>
          <w:szCs w:val="24"/>
        </w:rPr>
        <w:t xml:space="preserve"> which crisscross the region:  </w:t>
      </w:r>
      <w:r w:rsidRPr="0041586B">
        <w:rPr>
          <w:b/>
          <w:sz w:val="24"/>
          <w:szCs w:val="24"/>
        </w:rPr>
        <w:t xml:space="preserve">Georgia Biosciences </w:t>
      </w:r>
      <w:r w:rsidRPr="0041586B">
        <w:rPr>
          <w:sz w:val="24"/>
          <w:szCs w:val="24"/>
        </w:rPr>
        <w:t xml:space="preserve">(Athens-Clarke, Barrow and Oconee Counties); </w:t>
      </w:r>
      <w:proofErr w:type="spellStart"/>
      <w:r w:rsidRPr="0041586B">
        <w:rPr>
          <w:b/>
          <w:sz w:val="24"/>
          <w:szCs w:val="24"/>
        </w:rPr>
        <w:t>Dekalb</w:t>
      </w:r>
      <w:proofErr w:type="spellEnd"/>
      <w:r w:rsidRPr="0041586B">
        <w:rPr>
          <w:b/>
          <w:sz w:val="24"/>
          <w:szCs w:val="24"/>
        </w:rPr>
        <w:t>/Newton/Gwinnett</w:t>
      </w:r>
      <w:r w:rsidRPr="0041586B">
        <w:rPr>
          <w:sz w:val="24"/>
          <w:szCs w:val="24"/>
        </w:rPr>
        <w:t xml:space="preserve">, </w:t>
      </w:r>
      <w:r w:rsidRPr="0041586B">
        <w:rPr>
          <w:b/>
          <w:sz w:val="24"/>
          <w:szCs w:val="24"/>
        </w:rPr>
        <w:t>Northeast Georgia</w:t>
      </w:r>
      <w:r w:rsidRPr="0041586B">
        <w:rPr>
          <w:sz w:val="24"/>
          <w:szCs w:val="24"/>
        </w:rPr>
        <w:t xml:space="preserve"> (Athens-Clarke, Barrow, Elbert, Jackson, Madison, Oconee, and Oglethorpe Counties), </w:t>
      </w:r>
      <w:r w:rsidRPr="0041586B">
        <w:rPr>
          <w:b/>
          <w:sz w:val="24"/>
          <w:szCs w:val="24"/>
        </w:rPr>
        <w:t>Jasper/Morgan/Newton/Walton</w:t>
      </w:r>
      <w:r w:rsidRPr="0041586B">
        <w:rPr>
          <w:sz w:val="24"/>
          <w:szCs w:val="24"/>
        </w:rPr>
        <w:t xml:space="preserve">, and </w:t>
      </w:r>
      <w:r w:rsidRPr="0041586B">
        <w:rPr>
          <w:b/>
          <w:sz w:val="24"/>
          <w:szCs w:val="24"/>
        </w:rPr>
        <w:t>Lake Oconee Area</w:t>
      </w:r>
      <w:r w:rsidRPr="0041586B">
        <w:rPr>
          <w:sz w:val="24"/>
          <w:szCs w:val="24"/>
        </w:rPr>
        <w:t xml:space="preserve"> (Greene). Additionally, the four northernmost counties—Barrow, Elbert, Jackson and Madison Counties—fall under the jurisdiction of the </w:t>
      </w:r>
      <w:r w:rsidRPr="0041586B">
        <w:rPr>
          <w:b/>
          <w:sz w:val="24"/>
          <w:szCs w:val="24"/>
        </w:rPr>
        <w:t>Appalachian Regional Commission</w:t>
      </w:r>
      <w:r w:rsidRPr="0041586B">
        <w:rPr>
          <w:sz w:val="24"/>
          <w:szCs w:val="24"/>
        </w:rPr>
        <w:t xml:space="preserve">.  </w:t>
      </w:r>
    </w:p>
    <w:p w:rsidR="0041586B" w:rsidRPr="0041586B" w:rsidRDefault="0041586B" w:rsidP="00EB0173">
      <w:pPr>
        <w:spacing w:line="240" w:lineRule="auto"/>
        <w:jc w:val="both"/>
        <w:rPr>
          <w:b/>
          <w:sz w:val="24"/>
          <w:szCs w:val="24"/>
        </w:rPr>
      </w:pPr>
    </w:p>
    <w:p w:rsidR="006719A6" w:rsidRDefault="006719A6" w:rsidP="00EB0173">
      <w:pPr>
        <w:jc w:val="both"/>
        <w:rPr>
          <w:b/>
          <w:sz w:val="24"/>
          <w:szCs w:val="24"/>
        </w:rPr>
      </w:pPr>
      <w:r>
        <w:rPr>
          <w:b/>
          <w:sz w:val="24"/>
          <w:szCs w:val="24"/>
        </w:rPr>
        <w:br w:type="page"/>
      </w:r>
    </w:p>
    <w:p w:rsidR="00550F52" w:rsidRPr="0041586B" w:rsidRDefault="00550F52" w:rsidP="003A3E2F">
      <w:pPr>
        <w:spacing w:line="240" w:lineRule="auto"/>
        <w:jc w:val="center"/>
        <w:rPr>
          <w:b/>
          <w:sz w:val="24"/>
          <w:szCs w:val="24"/>
        </w:rPr>
      </w:pPr>
      <w:r w:rsidRPr="0041586B">
        <w:rPr>
          <w:b/>
          <w:sz w:val="24"/>
          <w:szCs w:val="24"/>
        </w:rPr>
        <w:lastRenderedPageBreak/>
        <w:t>Map 2—Joint Development Authorities</w:t>
      </w:r>
    </w:p>
    <w:p w:rsidR="00550F52" w:rsidRPr="0041586B" w:rsidRDefault="00550F52" w:rsidP="00EB0173">
      <w:pPr>
        <w:spacing w:line="240" w:lineRule="auto"/>
        <w:jc w:val="both"/>
        <w:rPr>
          <w:b/>
          <w:sz w:val="24"/>
          <w:szCs w:val="24"/>
        </w:rPr>
      </w:pPr>
      <w:r w:rsidRPr="0041586B">
        <w:rPr>
          <w:b/>
          <w:noProof/>
          <w:sz w:val="24"/>
          <w:szCs w:val="24"/>
        </w:rPr>
        <w:drawing>
          <wp:anchor distT="0" distB="0" distL="114300" distR="114300" simplePos="0" relativeHeight="251659264" behindDoc="1" locked="0" layoutInCell="1" allowOverlap="1" wp14:anchorId="77E2458D" wp14:editId="3E931F18">
            <wp:simplePos x="0" y="0"/>
            <wp:positionH relativeFrom="column">
              <wp:posOffset>228600</wp:posOffset>
            </wp:positionH>
            <wp:positionV relativeFrom="paragraph">
              <wp:posOffset>3810</wp:posOffset>
            </wp:positionV>
            <wp:extent cx="5486400" cy="5486400"/>
            <wp:effectExtent l="0" t="0" r="0" b="0"/>
            <wp:wrapTight wrapText="bothSides">
              <wp:wrapPolygon edited="0">
                <wp:start x="0" y="0"/>
                <wp:lineTo x="0" y="21525"/>
                <wp:lineTo x="21525" y="21525"/>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2 (JDAs and ARC).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18"/>
          <w:szCs w:val="18"/>
        </w:rPr>
      </w:pPr>
      <w:r w:rsidRPr="0041586B">
        <w:rPr>
          <w:i/>
          <w:sz w:val="18"/>
          <w:szCs w:val="18"/>
        </w:rPr>
        <w:t xml:space="preserve">Source:  NEGRC Databases </w:t>
      </w:r>
    </w:p>
    <w:p w:rsidR="00550F52" w:rsidRPr="00F018BC" w:rsidRDefault="00550F52" w:rsidP="00F018BC">
      <w:pPr>
        <w:pStyle w:val="Heading2"/>
      </w:pPr>
      <w:bookmarkStart w:id="10" w:name="_Toc395275929"/>
      <w:r w:rsidRPr="00F018BC">
        <w:t xml:space="preserve">Major </w:t>
      </w:r>
      <w:r w:rsidR="004E3AA4" w:rsidRPr="00F018BC">
        <w:t>E</w:t>
      </w:r>
      <w:r w:rsidRPr="00F018BC">
        <w:t>mployers</w:t>
      </w:r>
      <w:bookmarkEnd w:id="10"/>
    </w:p>
    <w:p w:rsidR="00550F52" w:rsidRPr="0041586B" w:rsidRDefault="00550F52" w:rsidP="00EB0173">
      <w:pPr>
        <w:spacing w:line="240" w:lineRule="auto"/>
        <w:jc w:val="both"/>
        <w:rPr>
          <w:sz w:val="24"/>
          <w:szCs w:val="24"/>
        </w:rPr>
      </w:pPr>
      <w:r w:rsidRPr="0041586B">
        <w:rPr>
          <w:sz w:val="24"/>
          <w:szCs w:val="24"/>
        </w:rPr>
        <w:t>According to the most recent Georgia Department of Labor Area Profile, the ten largest employers in Northeast Georgia in the third quarter of 2013 were as follows (listed alphabetically):</w:t>
      </w:r>
    </w:p>
    <w:p w:rsidR="00550F52" w:rsidRPr="0041586B" w:rsidRDefault="00550F52" w:rsidP="00EB0173">
      <w:pPr>
        <w:pStyle w:val="ListParagraph"/>
        <w:numPr>
          <w:ilvl w:val="0"/>
          <w:numId w:val="6"/>
        </w:numPr>
        <w:spacing w:line="240" w:lineRule="auto"/>
        <w:jc w:val="both"/>
        <w:rPr>
          <w:sz w:val="24"/>
          <w:szCs w:val="24"/>
        </w:rPr>
      </w:pPr>
      <w:r w:rsidRPr="0041586B">
        <w:rPr>
          <w:sz w:val="24"/>
          <w:szCs w:val="24"/>
        </w:rPr>
        <w:t>Athens Regional Medical Center</w:t>
      </w:r>
    </w:p>
    <w:p w:rsidR="00550F52" w:rsidRPr="0041586B" w:rsidRDefault="00550F52" w:rsidP="00EB0173">
      <w:pPr>
        <w:pStyle w:val="ListParagraph"/>
        <w:numPr>
          <w:ilvl w:val="0"/>
          <w:numId w:val="6"/>
        </w:numPr>
        <w:spacing w:line="240" w:lineRule="auto"/>
        <w:jc w:val="both"/>
        <w:rPr>
          <w:sz w:val="24"/>
          <w:szCs w:val="24"/>
        </w:rPr>
      </w:pPr>
      <w:r w:rsidRPr="0041586B">
        <w:rPr>
          <w:sz w:val="24"/>
          <w:szCs w:val="24"/>
        </w:rPr>
        <w:t>Chico’s Distribution Services, LLC</w:t>
      </w:r>
    </w:p>
    <w:p w:rsidR="00550F52" w:rsidRPr="0041586B" w:rsidRDefault="00550F52" w:rsidP="00EB0173">
      <w:pPr>
        <w:pStyle w:val="ListParagraph"/>
        <w:numPr>
          <w:ilvl w:val="0"/>
          <w:numId w:val="6"/>
        </w:numPr>
        <w:spacing w:line="240" w:lineRule="auto"/>
        <w:jc w:val="both"/>
        <w:rPr>
          <w:sz w:val="24"/>
          <w:szCs w:val="24"/>
        </w:rPr>
      </w:pPr>
      <w:r w:rsidRPr="0041586B">
        <w:rPr>
          <w:sz w:val="24"/>
          <w:szCs w:val="24"/>
        </w:rPr>
        <w:t>Harrison Poultry, Inc.</w:t>
      </w:r>
    </w:p>
    <w:p w:rsidR="00550F52" w:rsidRPr="0041586B" w:rsidRDefault="00550F52" w:rsidP="00EB0173">
      <w:pPr>
        <w:pStyle w:val="ListParagraph"/>
        <w:numPr>
          <w:ilvl w:val="0"/>
          <w:numId w:val="6"/>
        </w:numPr>
        <w:spacing w:line="240" w:lineRule="auto"/>
        <w:jc w:val="both"/>
        <w:rPr>
          <w:sz w:val="24"/>
          <w:szCs w:val="24"/>
        </w:rPr>
      </w:pPr>
      <w:r w:rsidRPr="0041586B">
        <w:rPr>
          <w:sz w:val="24"/>
          <w:szCs w:val="24"/>
        </w:rPr>
        <w:t>Pilgrim’s Pride Corporation</w:t>
      </w:r>
    </w:p>
    <w:p w:rsidR="00550F52" w:rsidRPr="0041586B" w:rsidRDefault="00550F52" w:rsidP="00EB0173">
      <w:pPr>
        <w:pStyle w:val="ListParagraph"/>
        <w:numPr>
          <w:ilvl w:val="0"/>
          <w:numId w:val="6"/>
        </w:numPr>
        <w:spacing w:line="240" w:lineRule="auto"/>
        <w:jc w:val="both"/>
        <w:rPr>
          <w:sz w:val="24"/>
          <w:szCs w:val="24"/>
        </w:rPr>
      </w:pPr>
      <w:r w:rsidRPr="0041586B">
        <w:rPr>
          <w:sz w:val="24"/>
          <w:szCs w:val="24"/>
        </w:rPr>
        <w:t>Publix Supermarkets, Inc.</w:t>
      </w:r>
    </w:p>
    <w:p w:rsidR="00550F52" w:rsidRPr="0041586B" w:rsidRDefault="00550F52" w:rsidP="00EB0173">
      <w:pPr>
        <w:pStyle w:val="ListParagraph"/>
        <w:numPr>
          <w:ilvl w:val="0"/>
          <w:numId w:val="6"/>
        </w:numPr>
        <w:spacing w:line="240" w:lineRule="auto"/>
        <w:jc w:val="both"/>
        <w:rPr>
          <w:sz w:val="24"/>
          <w:szCs w:val="24"/>
        </w:rPr>
      </w:pPr>
      <w:r w:rsidRPr="0041586B">
        <w:rPr>
          <w:sz w:val="24"/>
          <w:szCs w:val="24"/>
        </w:rPr>
        <w:lastRenderedPageBreak/>
        <w:t>The Kroger Company</w:t>
      </w:r>
    </w:p>
    <w:p w:rsidR="00550F52" w:rsidRPr="0041586B" w:rsidRDefault="00550F52" w:rsidP="00EB0173">
      <w:pPr>
        <w:pStyle w:val="ListParagraph"/>
        <w:numPr>
          <w:ilvl w:val="0"/>
          <w:numId w:val="6"/>
        </w:numPr>
        <w:spacing w:line="240" w:lineRule="auto"/>
        <w:jc w:val="both"/>
        <w:rPr>
          <w:sz w:val="24"/>
          <w:szCs w:val="24"/>
        </w:rPr>
      </w:pPr>
      <w:r w:rsidRPr="0041586B">
        <w:rPr>
          <w:sz w:val="24"/>
          <w:szCs w:val="24"/>
        </w:rPr>
        <w:t>The University of Georgia</w:t>
      </w:r>
    </w:p>
    <w:p w:rsidR="00550F52" w:rsidRPr="0041586B" w:rsidRDefault="00550F52" w:rsidP="00EB0173">
      <w:pPr>
        <w:pStyle w:val="ListParagraph"/>
        <w:numPr>
          <w:ilvl w:val="0"/>
          <w:numId w:val="6"/>
        </w:numPr>
        <w:spacing w:line="240" w:lineRule="auto"/>
        <w:jc w:val="both"/>
        <w:rPr>
          <w:sz w:val="24"/>
          <w:szCs w:val="24"/>
        </w:rPr>
      </w:pPr>
      <w:r w:rsidRPr="0041586B">
        <w:rPr>
          <w:sz w:val="24"/>
          <w:szCs w:val="24"/>
        </w:rPr>
        <w:t>Walmart</w:t>
      </w:r>
    </w:p>
    <w:p w:rsidR="00550F52" w:rsidRPr="0041586B" w:rsidRDefault="00550F52" w:rsidP="00EB0173">
      <w:pPr>
        <w:pStyle w:val="ListParagraph"/>
        <w:numPr>
          <w:ilvl w:val="0"/>
          <w:numId w:val="6"/>
        </w:numPr>
        <w:spacing w:line="240" w:lineRule="auto"/>
        <w:jc w:val="both"/>
        <w:rPr>
          <w:sz w:val="24"/>
          <w:szCs w:val="24"/>
        </w:rPr>
      </w:pPr>
      <w:r w:rsidRPr="0041586B">
        <w:rPr>
          <w:sz w:val="24"/>
          <w:szCs w:val="24"/>
        </w:rPr>
        <w:t>Wayne Poultry</w:t>
      </w:r>
    </w:p>
    <w:p w:rsidR="00550F52" w:rsidRPr="0041586B" w:rsidRDefault="00550F52" w:rsidP="00EB0173">
      <w:pPr>
        <w:pStyle w:val="ListParagraph"/>
        <w:numPr>
          <w:ilvl w:val="0"/>
          <w:numId w:val="6"/>
        </w:numPr>
        <w:spacing w:line="240" w:lineRule="auto"/>
        <w:jc w:val="both"/>
        <w:rPr>
          <w:sz w:val="24"/>
          <w:szCs w:val="24"/>
        </w:rPr>
      </w:pPr>
      <w:r w:rsidRPr="0041586B">
        <w:rPr>
          <w:sz w:val="24"/>
          <w:szCs w:val="24"/>
        </w:rPr>
        <w:t>West Side Station*</w:t>
      </w:r>
    </w:p>
    <w:p w:rsidR="00550F52" w:rsidRPr="0041586B" w:rsidRDefault="00550F52" w:rsidP="00EB0173">
      <w:pPr>
        <w:spacing w:line="240" w:lineRule="auto"/>
        <w:jc w:val="both"/>
        <w:rPr>
          <w:sz w:val="18"/>
          <w:szCs w:val="18"/>
        </w:rPr>
      </w:pPr>
      <w:r w:rsidRPr="0041586B">
        <w:rPr>
          <w:sz w:val="18"/>
          <w:szCs w:val="18"/>
        </w:rPr>
        <w:t>*No information available on this outside GADOL report.</w:t>
      </w:r>
    </w:p>
    <w:p w:rsidR="00550F52" w:rsidRPr="0041586B" w:rsidRDefault="0041586B" w:rsidP="003A3E2F">
      <w:pPr>
        <w:spacing w:line="240" w:lineRule="auto"/>
        <w:jc w:val="center"/>
        <w:rPr>
          <w:sz w:val="24"/>
          <w:szCs w:val="24"/>
        </w:rPr>
      </w:pPr>
      <w:r w:rsidRPr="0041586B">
        <w:rPr>
          <w:noProof/>
          <w:sz w:val="24"/>
          <w:szCs w:val="24"/>
        </w:rPr>
        <w:drawing>
          <wp:anchor distT="0" distB="0" distL="114300" distR="114300" simplePos="0" relativeHeight="251660288" behindDoc="1" locked="0" layoutInCell="1" allowOverlap="1" wp14:anchorId="2D1CB2B6" wp14:editId="4100C589">
            <wp:simplePos x="0" y="0"/>
            <wp:positionH relativeFrom="column">
              <wp:posOffset>0</wp:posOffset>
            </wp:positionH>
            <wp:positionV relativeFrom="paragraph">
              <wp:posOffset>314325</wp:posOffset>
            </wp:positionV>
            <wp:extent cx="5061585" cy="5061585"/>
            <wp:effectExtent l="0" t="0" r="5715" b="5715"/>
            <wp:wrapTight wrapText="bothSides">
              <wp:wrapPolygon edited="0">
                <wp:start x="0" y="0"/>
                <wp:lineTo x="0" y="21543"/>
                <wp:lineTo x="21543" y="21543"/>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3 (Major Employers).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1585" cy="5061585"/>
                    </a:xfrm>
                    <a:prstGeom prst="rect">
                      <a:avLst/>
                    </a:prstGeom>
                  </pic:spPr>
                </pic:pic>
              </a:graphicData>
            </a:graphic>
            <wp14:sizeRelH relativeFrom="page">
              <wp14:pctWidth>0</wp14:pctWidth>
            </wp14:sizeRelH>
            <wp14:sizeRelV relativeFrom="page">
              <wp14:pctHeight>0</wp14:pctHeight>
            </wp14:sizeRelV>
          </wp:anchor>
        </w:drawing>
      </w:r>
      <w:r w:rsidR="00550F52" w:rsidRPr="0041586B">
        <w:rPr>
          <w:b/>
          <w:sz w:val="24"/>
          <w:szCs w:val="24"/>
        </w:rPr>
        <w:t>Map 3—Major Employers</w:t>
      </w: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550F52" w:rsidRPr="0041586B" w:rsidRDefault="00550F52" w:rsidP="00EB0173">
      <w:pPr>
        <w:spacing w:line="240" w:lineRule="auto"/>
        <w:jc w:val="both"/>
        <w:rPr>
          <w:sz w:val="24"/>
          <w:szCs w:val="24"/>
        </w:rPr>
      </w:pPr>
    </w:p>
    <w:p w:rsidR="0041586B" w:rsidRDefault="00550F52" w:rsidP="00EB0173">
      <w:pPr>
        <w:spacing w:line="240" w:lineRule="auto"/>
        <w:jc w:val="both"/>
        <w:rPr>
          <w:sz w:val="18"/>
          <w:szCs w:val="18"/>
        </w:rPr>
      </w:pPr>
      <w:r w:rsidRPr="0041586B">
        <w:rPr>
          <w:sz w:val="18"/>
          <w:szCs w:val="18"/>
        </w:rPr>
        <w:t>Sources:  Georgia Department of Labor Area Labor Profile for Northeast Georgia</w:t>
      </w:r>
    </w:p>
    <w:p w:rsidR="00EB0173" w:rsidRDefault="00EB0173" w:rsidP="00EB0173">
      <w:pPr>
        <w:spacing w:line="240" w:lineRule="auto"/>
        <w:jc w:val="both"/>
        <w:rPr>
          <w:sz w:val="18"/>
          <w:szCs w:val="18"/>
        </w:rPr>
        <w:sectPr w:rsidR="00EB0173" w:rsidSect="0041586B">
          <w:headerReference w:type="even" r:id="rId26"/>
          <w:headerReference w:type="default" r:id="rId27"/>
          <w:headerReference w:type="first" r:id="rId28"/>
          <w:pgSz w:w="12240" w:h="15840"/>
          <w:pgMar w:top="1440" w:right="1440" w:bottom="1440" w:left="1440" w:header="720" w:footer="720" w:gutter="0"/>
          <w:cols w:space="720"/>
          <w:docGrid w:linePitch="360"/>
        </w:sectPr>
      </w:pPr>
    </w:p>
    <w:p w:rsidR="00550F52" w:rsidRDefault="0041586B" w:rsidP="00A71132">
      <w:pPr>
        <w:pStyle w:val="Heading1"/>
      </w:pPr>
      <w:bookmarkStart w:id="11" w:name="_Toc395275930"/>
      <w:r w:rsidRPr="0041586B">
        <w:lastRenderedPageBreak/>
        <w:t>Workforce and Demographic Summary</w:t>
      </w:r>
      <w:bookmarkEnd w:id="11"/>
    </w:p>
    <w:p w:rsidR="007E762D" w:rsidRPr="00F018BC" w:rsidRDefault="007E762D" w:rsidP="00F018BC">
      <w:pPr>
        <w:pStyle w:val="Heading2"/>
      </w:pPr>
      <w:bookmarkStart w:id="12" w:name="_Toc395275931"/>
      <w:r w:rsidRPr="00F018BC">
        <w:t xml:space="preserve">Population </w:t>
      </w:r>
      <w:r w:rsidR="001D68BF" w:rsidRPr="00F018BC">
        <w:t>Forecasts Through 2030</w:t>
      </w:r>
      <w:bookmarkEnd w:id="12"/>
    </w:p>
    <w:p w:rsidR="007E762D" w:rsidRPr="007E762D" w:rsidRDefault="007E762D" w:rsidP="00EB0173">
      <w:pPr>
        <w:spacing w:line="240" w:lineRule="auto"/>
        <w:jc w:val="both"/>
        <w:rPr>
          <w:sz w:val="24"/>
          <w:szCs w:val="24"/>
          <w:highlight w:val="yellow"/>
        </w:rPr>
      </w:pPr>
      <w:r w:rsidRPr="007E762D">
        <w:rPr>
          <w:sz w:val="24"/>
          <w:szCs w:val="24"/>
        </w:rPr>
        <w:t>By 2030, Northeast Georgia is expected to grow substantially in population. Every county is forecast to grow between 2010 and 2030. Athens-Clarke County will cease to be the most populous in Northeast Georgia by 2015, when Newton County is expected to surpass it. By 2030, Athens-Clarke will be the 4</w:t>
      </w:r>
      <w:r w:rsidRPr="007E762D">
        <w:rPr>
          <w:sz w:val="24"/>
          <w:szCs w:val="24"/>
          <w:vertAlign w:val="superscript"/>
        </w:rPr>
        <w:t>th</w:t>
      </w:r>
      <w:r w:rsidRPr="007E762D">
        <w:rPr>
          <w:sz w:val="24"/>
          <w:szCs w:val="24"/>
        </w:rPr>
        <w:t xml:space="preserve"> most populous county behind Newton, Walton, and Barrow, respectively. Seven of the twelve counties are forecast to grow at a faster rate than the region (81.8%) during this timeframe. Sometime between 2025 and 2030, the population in Northeast Georgia is forecast to exceed the one million mark.</w:t>
      </w:r>
    </w:p>
    <w:p w:rsidR="001D68BF" w:rsidRPr="001D68BF" w:rsidRDefault="001D68BF" w:rsidP="00EB0173">
      <w:pPr>
        <w:pStyle w:val="Caption"/>
        <w:keepNext/>
        <w:jc w:val="both"/>
        <w:rPr>
          <w:color w:val="auto"/>
        </w:rPr>
      </w:pPr>
      <w:r w:rsidRPr="001D68BF">
        <w:rPr>
          <w:color w:val="auto"/>
        </w:rPr>
        <w:t xml:space="preserve">Table </w:t>
      </w:r>
      <w:r w:rsidRPr="001D68BF">
        <w:rPr>
          <w:color w:val="auto"/>
        </w:rPr>
        <w:fldChar w:fldCharType="begin"/>
      </w:r>
      <w:r w:rsidRPr="001D68BF">
        <w:rPr>
          <w:color w:val="auto"/>
        </w:rPr>
        <w:instrText xml:space="preserve"> SEQ Table \* ARABIC </w:instrText>
      </w:r>
      <w:r w:rsidRPr="001D68BF">
        <w:rPr>
          <w:color w:val="auto"/>
        </w:rPr>
        <w:fldChar w:fldCharType="separate"/>
      </w:r>
      <w:r w:rsidR="00B91CD4">
        <w:rPr>
          <w:noProof/>
          <w:color w:val="auto"/>
        </w:rPr>
        <w:t>4</w:t>
      </w:r>
      <w:r w:rsidRPr="001D68BF">
        <w:rPr>
          <w:color w:val="auto"/>
        </w:rPr>
        <w:fldChar w:fldCharType="end"/>
      </w:r>
    </w:p>
    <w:tbl>
      <w:tblPr>
        <w:tblStyle w:val="LightShading-Accent5"/>
        <w:tblW w:w="10041" w:type="dxa"/>
        <w:tblLook w:val="04A0" w:firstRow="1" w:lastRow="0" w:firstColumn="1" w:lastColumn="0" w:noHBand="0" w:noVBand="1"/>
      </w:tblPr>
      <w:tblGrid>
        <w:gridCol w:w="4488"/>
        <w:gridCol w:w="876"/>
        <w:gridCol w:w="876"/>
        <w:gridCol w:w="876"/>
        <w:gridCol w:w="876"/>
        <w:gridCol w:w="1026"/>
        <w:gridCol w:w="1023"/>
      </w:tblGrid>
      <w:tr w:rsidR="007E762D" w:rsidRPr="007E762D" w:rsidTr="001D68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b w:val="0"/>
                <w:bCs w:val="0"/>
                <w:sz w:val="20"/>
                <w:szCs w:val="20"/>
              </w:rPr>
            </w:pPr>
            <w:r w:rsidRPr="001D68BF">
              <w:rPr>
                <w:rFonts w:eastAsia="Times New Roman" w:cs="Times New Roman"/>
                <w:sz w:val="20"/>
                <w:szCs w:val="20"/>
              </w:rPr>
              <w:t>County</w:t>
            </w:r>
          </w:p>
        </w:tc>
        <w:tc>
          <w:tcPr>
            <w:tcW w:w="876" w:type="dxa"/>
            <w:noWrap/>
            <w:hideMark/>
          </w:tcPr>
          <w:p w:rsidR="007E762D" w:rsidRPr="001D68BF"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1D68BF">
              <w:rPr>
                <w:rFonts w:eastAsia="Times New Roman" w:cs="Times New Roman"/>
                <w:sz w:val="20"/>
                <w:szCs w:val="20"/>
              </w:rPr>
              <w:t>2010</w:t>
            </w:r>
          </w:p>
        </w:tc>
        <w:tc>
          <w:tcPr>
            <w:tcW w:w="876" w:type="dxa"/>
            <w:noWrap/>
            <w:hideMark/>
          </w:tcPr>
          <w:p w:rsidR="007E762D" w:rsidRPr="001D68BF"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1D68BF">
              <w:rPr>
                <w:rFonts w:eastAsia="Times New Roman" w:cs="Times New Roman"/>
                <w:sz w:val="20"/>
                <w:szCs w:val="20"/>
              </w:rPr>
              <w:t>2015</w:t>
            </w:r>
          </w:p>
        </w:tc>
        <w:tc>
          <w:tcPr>
            <w:tcW w:w="876" w:type="dxa"/>
            <w:noWrap/>
            <w:hideMark/>
          </w:tcPr>
          <w:p w:rsidR="007E762D" w:rsidRPr="001D68BF"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1D68BF">
              <w:rPr>
                <w:rFonts w:eastAsia="Times New Roman" w:cs="Times New Roman"/>
                <w:sz w:val="20"/>
                <w:szCs w:val="20"/>
              </w:rPr>
              <w:t>2020</w:t>
            </w:r>
          </w:p>
        </w:tc>
        <w:tc>
          <w:tcPr>
            <w:tcW w:w="876" w:type="dxa"/>
            <w:noWrap/>
            <w:hideMark/>
          </w:tcPr>
          <w:p w:rsidR="007E762D" w:rsidRPr="001D68BF"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1D68BF">
              <w:rPr>
                <w:rFonts w:eastAsia="Times New Roman" w:cs="Times New Roman"/>
                <w:sz w:val="20"/>
                <w:szCs w:val="20"/>
              </w:rPr>
              <w:t>2025</w:t>
            </w:r>
          </w:p>
        </w:tc>
        <w:tc>
          <w:tcPr>
            <w:tcW w:w="1026" w:type="dxa"/>
            <w:noWrap/>
            <w:hideMark/>
          </w:tcPr>
          <w:p w:rsidR="007E762D" w:rsidRPr="001D68BF"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1D68BF">
              <w:rPr>
                <w:rFonts w:eastAsia="Times New Roman" w:cs="Times New Roman"/>
                <w:sz w:val="20"/>
                <w:szCs w:val="20"/>
              </w:rPr>
              <w:t>2030</w:t>
            </w:r>
          </w:p>
        </w:tc>
        <w:tc>
          <w:tcPr>
            <w:tcW w:w="1023" w:type="dxa"/>
            <w:noWrap/>
            <w:hideMark/>
          </w:tcPr>
          <w:p w:rsidR="007E762D" w:rsidRPr="001D68BF"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1D68BF">
              <w:rPr>
                <w:rFonts w:eastAsia="Times New Roman" w:cs="Times New Roman"/>
                <w:sz w:val="20"/>
                <w:szCs w:val="20"/>
              </w:rPr>
              <w:t>Rate</w:t>
            </w:r>
          </w:p>
        </w:tc>
      </w:tr>
      <w:tr w:rsidR="007E762D" w:rsidRPr="007E762D" w:rsidTr="001D68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Barrow</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69,367</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90,162</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107,798</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128,994</w:t>
            </w:r>
          </w:p>
        </w:tc>
        <w:tc>
          <w:tcPr>
            <w:tcW w:w="102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151,417</w:t>
            </w:r>
          </w:p>
        </w:tc>
        <w:tc>
          <w:tcPr>
            <w:tcW w:w="1023"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118.28%</w:t>
            </w:r>
          </w:p>
        </w:tc>
      </w:tr>
      <w:tr w:rsidR="007E762D" w:rsidRPr="007E762D" w:rsidTr="001D68BF">
        <w:trPr>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Clarke</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116,714</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123,967</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131,257</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139,121</w:t>
            </w:r>
          </w:p>
        </w:tc>
        <w:tc>
          <w:tcPr>
            <w:tcW w:w="102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147,373</w:t>
            </w:r>
          </w:p>
        </w:tc>
        <w:tc>
          <w:tcPr>
            <w:tcW w:w="1023"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26.27%</w:t>
            </w:r>
          </w:p>
        </w:tc>
      </w:tr>
      <w:tr w:rsidR="007E762D" w:rsidRPr="007E762D" w:rsidTr="001D68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Elbert</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20,166</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20,906</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21,136</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21,312</w:t>
            </w:r>
          </w:p>
        </w:tc>
        <w:tc>
          <w:tcPr>
            <w:tcW w:w="102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21,427</w:t>
            </w:r>
          </w:p>
        </w:tc>
        <w:tc>
          <w:tcPr>
            <w:tcW w:w="1023"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6.25%</w:t>
            </w:r>
          </w:p>
        </w:tc>
      </w:tr>
      <w:tr w:rsidR="007E762D" w:rsidRPr="007E762D" w:rsidTr="001D68BF">
        <w:trPr>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Greene</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15,994</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18,640</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20,971</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23,499</w:t>
            </w:r>
          </w:p>
        </w:tc>
        <w:tc>
          <w:tcPr>
            <w:tcW w:w="102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26,134</w:t>
            </w:r>
          </w:p>
        </w:tc>
        <w:tc>
          <w:tcPr>
            <w:tcW w:w="1023"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63.40%</w:t>
            </w:r>
          </w:p>
        </w:tc>
      </w:tr>
      <w:tr w:rsidR="007E762D" w:rsidRPr="007E762D" w:rsidTr="001D68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Jackson</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60,485</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77,528</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90,713</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105,954</w:t>
            </w:r>
          </w:p>
        </w:tc>
        <w:tc>
          <w:tcPr>
            <w:tcW w:w="102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123,728</w:t>
            </w:r>
          </w:p>
        </w:tc>
        <w:tc>
          <w:tcPr>
            <w:tcW w:w="1023"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104.56%</w:t>
            </w:r>
          </w:p>
        </w:tc>
      </w:tr>
      <w:tr w:rsidR="007E762D" w:rsidRPr="007E762D" w:rsidTr="001D68BF">
        <w:trPr>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Jasper</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13,900</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17,344</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20,237</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23,572</w:t>
            </w:r>
          </w:p>
        </w:tc>
        <w:tc>
          <w:tcPr>
            <w:tcW w:w="102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27,065</w:t>
            </w:r>
          </w:p>
        </w:tc>
        <w:tc>
          <w:tcPr>
            <w:tcW w:w="1023"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94.71%</w:t>
            </w:r>
          </w:p>
        </w:tc>
      </w:tr>
      <w:tr w:rsidR="007E762D" w:rsidRPr="007E762D" w:rsidTr="001D68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Madison</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28,120</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31,847</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34,796</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38,014</w:t>
            </w:r>
          </w:p>
        </w:tc>
        <w:tc>
          <w:tcPr>
            <w:tcW w:w="102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41,029</w:t>
            </w:r>
          </w:p>
        </w:tc>
        <w:tc>
          <w:tcPr>
            <w:tcW w:w="1023"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45.91%</w:t>
            </w:r>
          </w:p>
        </w:tc>
      </w:tr>
      <w:tr w:rsidR="007E762D" w:rsidRPr="007E762D" w:rsidTr="001D68BF">
        <w:trPr>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Morgan</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17,868</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22,019</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24,787</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27,832</w:t>
            </w:r>
          </w:p>
        </w:tc>
        <w:tc>
          <w:tcPr>
            <w:tcW w:w="102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31,090</w:t>
            </w:r>
          </w:p>
        </w:tc>
        <w:tc>
          <w:tcPr>
            <w:tcW w:w="1023"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74.00%</w:t>
            </w:r>
          </w:p>
        </w:tc>
      </w:tr>
      <w:tr w:rsidR="007E762D" w:rsidRPr="007E762D" w:rsidTr="001D68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Newton</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99,958</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129,789</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157,414</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191,000</w:t>
            </w:r>
          </w:p>
        </w:tc>
        <w:tc>
          <w:tcPr>
            <w:tcW w:w="102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227,537</w:t>
            </w:r>
          </w:p>
        </w:tc>
        <w:tc>
          <w:tcPr>
            <w:tcW w:w="1023"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127.63%</w:t>
            </w:r>
          </w:p>
        </w:tc>
      </w:tr>
      <w:tr w:rsidR="007E762D" w:rsidRPr="007E762D" w:rsidTr="001D68BF">
        <w:trPr>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Oconee</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32,808</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41,010</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48,233</w:t>
            </w:r>
          </w:p>
        </w:tc>
        <w:tc>
          <w:tcPr>
            <w:tcW w:w="87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56,412</w:t>
            </w:r>
          </w:p>
        </w:tc>
        <w:tc>
          <w:tcPr>
            <w:tcW w:w="1026"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65,828</w:t>
            </w:r>
          </w:p>
        </w:tc>
        <w:tc>
          <w:tcPr>
            <w:tcW w:w="1023" w:type="dxa"/>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100.65%</w:t>
            </w:r>
          </w:p>
        </w:tc>
      </w:tr>
      <w:tr w:rsidR="007E762D" w:rsidRPr="007E762D" w:rsidTr="001D68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dxa"/>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Oglethorpe</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14,899</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17,601</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20,620</w:t>
            </w:r>
          </w:p>
        </w:tc>
        <w:tc>
          <w:tcPr>
            <w:tcW w:w="87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24,127</w:t>
            </w:r>
          </w:p>
        </w:tc>
        <w:tc>
          <w:tcPr>
            <w:tcW w:w="1026"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28,081</w:t>
            </w:r>
          </w:p>
        </w:tc>
        <w:tc>
          <w:tcPr>
            <w:tcW w:w="1023" w:type="dxa"/>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88.48%</w:t>
            </w:r>
          </w:p>
        </w:tc>
      </w:tr>
      <w:tr w:rsidR="007E762D" w:rsidRPr="007E762D" w:rsidTr="001D68BF">
        <w:trPr>
          <w:trHeight w:val="300"/>
        </w:trPr>
        <w:tc>
          <w:tcPr>
            <w:cnfStyle w:val="001000000000" w:firstRow="0" w:lastRow="0" w:firstColumn="1" w:lastColumn="0" w:oddVBand="0" w:evenVBand="0" w:oddHBand="0" w:evenHBand="0" w:firstRowFirstColumn="0" w:firstRowLastColumn="0" w:lastRowFirstColumn="0" w:lastRowLastColumn="0"/>
            <w:tcW w:w="4488" w:type="dxa"/>
            <w:tcBorders>
              <w:bottom w:val="nil"/>
            </w:tcBorders>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Walton</w:t>
            </w:r>
          </w:p>
        </w:tc>
        <w:tc>
          <w:tcPr>
            <w:tcW w:w="876" w:type="dxa"/>
            <w:tcBorders>
              <w:bottom w:val="nil"/>
            </w:tcBorders>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83,768</w:t>
            </w:r>
          </w:p>
        </w:tc>
        <w:tc>
          <w:tcPr>
            <w:tcW w:w="876" w:type="dxa"/>
            <w:tcBorders>
              <w:bottom w:val="nil"/>
            </w:tcBorders>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103,882</w:t>
            </w:r>
          </w:p>
        </w:tc>
        <w:tc>
          <w:tcPr>
            <w:tcW w:w="876" w:type="dxa"/>
            <w:tcBorders>
              <w:bottom w:val="nil"/>
            </w:tcBorders>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118,742</w:t>
            </w:r>
          </w:p>
        </w:tc>
        <w:tc>
          <w:tcPr>
            <w:tcW w:w="876" w:type="dxa"/>
            <w:tcBorders>
              <w:bottom w:val="nil"/>
            </w:tcBorders>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135,756</w:t>
            </w:r>
          </w:p>
        </w:tc>
        <w:tc>
          <w:tcPr>
            <w:tcW w:w="1026" w:type="dxa"/>
            <w:tcBorders>
              <w:bottom w:val="nil"/>
            </w:tcBorders>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153,053</w:t>
            </w:r>
          </w:p>
        </w:tc>
        <w:tc>
          <w:tcPr>
            <w:tcW w:w="1023" w:type="dxa"/>
            <w:tcBorders>
              <w:bottom w:val="nil"/>
            </w:tcBorders>
            <w:noWrap/>
            <w:hideMark/>
          </w:tcPr>
          <w:p w:rsidR="007E762D" w:rsidRPr="001D68BF"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1D68BF">
              <w:rPr>
                <w:rFonts w:eastAsia="Times New Roman" w:cs="Times New Roman"/>
                <w:b/>
                <w:bCs/>
                <w:color w:val="000000"/>
                <w:sz w:val="20"/>
                <w:szCs w:val="20"/>
              </w:rPr>
              <w:t>82.71%</w:t>
            </w:r>
          </w:p>
        </w:tc>
      </w:tr>
      <w:tr w:rsidR="007E762D" w:rsidRPr="007E762D" w:rsidTr="001D68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8" w:type="dxa"/>
            <w:tcBorders>
              <w:top w:val="nil"/>
              <w:bottom w:val="single" w:sz="4" w:space="0" w:color="4BACC6" w:themeColor="accent5"/>
            </w:tcBorders>
            <w:noWrap/>
            <w:hideMark/>
          </w:tcPr>
          <w:p w:rsidR="007E762D" w:rsidRPr="001D68BF" w:rsidRDefault="007E762D" w:rsidP="00EB0173">
            <w:pPr>
              <w:jc w:val="both"/>
              <w:rPr>
                <w:rFonts w:eastAsia="Times New Roman" w:cs="Times New Roman"/>
                <w:color w:val="000000"/>
                <w:sz w:val="20"/>
                <w:szCs w:val="20"/>
              </w:rPr>
            </w:pPr>
            <w:r w:rsidRPr="001D68BF">
              <w:rPr>
                <w:rFonts w:eastAsia="Times New Roman" w:cs="Times New Roman"/>
                <w:color w:val="000000"/>
                <w:sz w:val="20"/>
                <w:szCs w:val="20"/>
              </w:rPr>
              <w:t>REGION</w:t>
            </w:r>
          </w:p>
        </w:tc>
        <w:tc>
          <w:tcPr>
            <w:tcW w:w="876" w:type="dxa"/>
            <w:tcBorders>
              <w:top w:val="nil"/>
              <w:bottom w:val="single" w:sz="4" w:space="0" w:color="4BACC6" w:themeColor="accent5"/>
            </w:tcBorders>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574,047</w:t>
            </w:r>
          </w:p>
        </w:tc>
        <w:tc>
          <w:tcPr>
            <w:tcW w:w="876" w:type="dxa"/>
            <w:tcBorders>
              <w:top w:val="nil"/>
              <w:bottom w:val="single" w:sz="4" w:space="0" w:color="4BACC6" w:themeColor="accent5"/>
            </w:tcBorders>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694,695</w:t>
            </w:r>
          </w:p>
        </w:tc>
        <w:tc>
          <w:tcPr>
            <w:tcW w:w="876" w:type="dxa"/>
            <w:tcBorders>
              <w:top w:val="nil"/>
              <w:bottom w:val="single" w:sz="4" w:space="0" w:color="4BACC6" w:themeColor="accent5"/>
            </w:tcBorders>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796,704</w:t>
            </w:r>
          </w:p>
        </w:tc>
        <w:tc>
          <w:tcPr>
            <w:tcW w:w="876" w:type="dxa"/>
            <w:tcBorders>
              <w:top w:val="nil"/>
              <w:bottom w:val="single" w:sz="4" w:space="0" w:color="4BACC6" w:themeColor="accent5"/>
            </w:tcBorders>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915,593</w:t>
            </w:r>
          </w:p>
        </w:tc>
        <w:tc>
          <w:tcPr>
            <w:tcW w:w="1026" w:type="dxa"/>
            <w:tcBorders>
              <w:top w:val="nil"/>
              <w:bottom w:val="single" w:sz="4" w:space="0" w:color="4BACC6" w:themeColor="accent5"/>
            </w:tcBorders>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1,043,762</w:t>
            </w:r>
          </w:p>
        </w:tc>
        <w:tc>
          <w:tcPr>
            <w:tcW w:w="1023" w:type="dxa"/>
            <w:tcBorders>
              <w:top w:val="nil"/>
              <w:bottom w:val="single" w:sz="4" w:space="0" w:color="4BACC6" w:themeColor="accent5"/>
            </w:tcBorders>
            <w:noWrap/>
            <w:hideMark/>
          </w:tcPr>
          <w:p w:rsidR="007E762D" w:rsidRPr="001D68BF"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1D68BF">
              <w:rPr>
                <w:rFonts w:eastAsia="Times New Roman" w:cs="Times New Roman"/>
                <w:color w:val="000000"/>
                <w:sz w:val="20"/>
                <w:szCs w:val="20"/>
              </w:rPr>
              <w:t>81.83%</w:t>
            </w:r>
          </w:p>
        </w:tc>
      </w:tr>
      <w:tr w:rsidR="007E762D" w:rsidRPr="007E762D" w:rsidTr="001D68BF">
        <w:trPr>
          <w:trHeight w:val="300"/>
        </w:trPr>
        <w:tc>
          <w:tcPr>
            <w:cnfStyle w:val="001000000000" w:firstRow="0" w:lastRow="0" w:firstColumn="1" w:lastColumn="0" w:oddVBand="0" w:evenVBand="0" w:oddHBand="0" w:evenHBand="0" w:firstRowFirstColumn="0" w:firstRowLastColumn="0" w:lastRowFirstColumn="0" w:lastRowLastColumn="0"/>
            <w:tcW w:w="10041" w:type="dxa"/>
            <w:gridSpan w:val="7"/>
            <w:tcBorders>
              <w:top w:val="single" w:sz="4" w:space="0" w:color="4BACC6" w:themeColor="accent5"/>
              <w:bottom w:val="nil"/>
            </w:tcBorders>
            <w:noWrap/>
          </w:tcPr>
          <w:p w:rsidR="007E762D" w:rsidRPr="007E762D" w:rsidRDefault="007E762D" w:rsidP="00EB0173">
            <w:pPr>
              <w:tabs>
                <w:tab w:val="left" w:pos="2250"/>
              </w:tabs>
              <w:jc w:val="both"/>
              <w:rPr>
                <w:b w:val="0"/>
                <w:sz w:val="18"/>
                <w:szCs w:val="18"/>
              </w:rPr>
            </w:pPr>
            <w:r w:rsidRPr="007E762D">
              <w:rPr>
                <w:b w:val="0"/>
                <w:sz w:val="18"/>
                <w:szCs w:val="18"/>
              </w:rPr>
              <w:t xml:space="preserve">Sources:  US Census Bureau 2010 Decennial Census; Governor’s Office of Planning and Budget “Georgia 2030:  Population Projections”, March 12, 2010:  </w:t>
            </w:r>
            <w:hyperlink r:id="rId29" w:history="1">
              <w:r w:rsidRPr="007E762D">
                <w:rPr>
                  <w:rStyle w:val="Hyperlink"/>
                  <w:b w:val="0"/>
                  <w:sz w:val="18"/>
                  <w:szCs w:val="18"/>
                </w:rPr>
                <w:t>http://www.georgialibraries.org/lib/construction/georgia_population_projections_march_2010.pdf</w:t>
              </w:r>
            </w:hyperlink>
            <w:r w:rsidRPr="007E762D">
              <w:rPr>
                <w:b w:val="0"/>
                <w:sz w:val="18"/>
                <w:szCs w:val="18"/>
              </w:rPr>
              <w:t xml:space="preserve"> (last accessed 7/24/2014) </w:t>
            </w:r>
          </w:p>
          <w:p w:rsidR="007E762D" w:rsidRPr="007E762D" w:rsidRDefault="007E762D" w:rsidP="00EB0173">
            <w:pPr>
              <w:tabs>
                <w:tab w:val="left" w:pos="2250"/>
              </w:tabs>
              <w:jc w:val="both"/>
              <w:rPr>
                <w:b w:val="0"/>
                <w:sz w:val="18"/>
                <w:szCs w:val="18"/>
              </w:rPr>
            </w:pPr>
            <w:r w:rsidRPr="007E762D">
              <w:rPr>
                <w:b w:val="0"/>
                <w:sz w:val="18"/>
                <w:szCs w:val="18"/>
              </w:rPr>
              <w:t xml:space="preserve">Note:  Bold under year forecasts indicates most populous county.  Bold under “Rate” indicates those counties forecast to grow at a faster rate than the region (81.83%) during 2010 to 2030. </w:t>
            </w:r>
          </w:p>
          <w:p w:rsidR="007E762D" w:rsidRPr="007E762D" w:rsidRDefault="007E762D" w:rsidP="00EB0173">
            <w:pPr>
              <w:jc w:val="both"/>
              <w:rPr>
                <w:rFonts w:eastAsia="Times New Roman" w:cs="Times New Roman"/>
                <w:color w:val="000000"/>
                <w:sz w:val="24"/>
                <w:szCs w:val="24"/>
              </w:rPr>
            </w:pPr>
          </w:p>
        </w:tc>
      </w:tr>
    </w:tbl>
    <w:p w:rsidR="007E762D" w:rsidRPr="007E762D" w:rsidRDefault="007E762D" w:rsidP="003A3E2F">
      <w:pPr>
        <w:tabs>
          <w:tab w:val="left" w:pos="2250"/>
        </w:tabs>
        <w:spacing w:line="240" w:lineRule="auto"/>
        <w:jc w:val="center"/>
        <w:rPr>
          <w:b/>
          <w:sz w:val="24"/>
          <w:szCs w:val="24"/>
        </w:rPr>
      </w:pPr>
      <w:r w:rsidRPr="007E762D">
        <w:rPr>
          <w:sz w:val="24"/>
          <w:szCs w:val="24"/>
          <w:highlight w:val="yellow"/>
        </w:rPr>
        <w:lastRenderedPageBreak/>
        <w:br/>
      </w:r>
      <w:r w:rsidRPr="007E762D">
        <w:rPr>
          <w:b/>
          <w:sz w:val="24"/>
          <w:szCs w:val="24"/>
        </w:rPr>
        <w:t>Map 4—Population Density</w:t>
      </w:r>
      <w:r w:rsidRPr="007E762D">
        <w:rPr>
          <w:noProof/>
          <w:sz w:val="24"/>
          <w:szCs w:val="24"/>
        </w:rPr>
        <w:drawing>
          <wp:anchor distT="0" distB="0" distL="114300" distR="114300" simplePos="0" relativeHeight="251664384" behindDoc="1" locked="0" layoutInCell="1" allowOverlap="1" wp14:anchorId="55A6F54E" wp14:editId="011D97B1">
            <wp:simplePos x="0" y="0"/>
            <wp:positionH relativeFrom="column">
              <wp:posOffset>228600</wp:posOffset>
            </wp:positionH>
            <wp:positionV relativeFrom="paragraph">
              <wp:posOffset>393065</wp:posOffset>
            </wp:positionV>
            <wp:extent cx="5486400" cy="5486400"/>
            <wp:effectExtent l="0" t="0" r="0" b="0"/>
            <wp:wrapTight wrapText="bothSides">
              <wp:wrapPolygon edited="0">
                <wp:start x="0" y="0"/>
                <wp:lineTo x="0" y="21525"/>
                <wp:lineTo x="21525" y="21525"/>
                <wp:lineTo x="21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4 (Heat Map of Population Density).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p>
    <w:p w:rsidR="007E762D" w:rsidRPr="007E762D" w:rsidRDefault="007E762D" w:rsidP="00EB0173">
      <w:pPr>
        <w:tabs>
          <w:tab w:val="left" w:pos="2250"/>
        </w:tabs>
        <w:spacing w:line="240" w:lineRule="auto"/>
        <w:jc w:val="both"/>
        <w:rPr>
          <w:sz w:val="24"/>
          <w:szCs w:val="24"/>
          <w:highlight w:val="yellow"/>
        </w:rPr>
      </w:pPr>
    </w:p>
    <w:p w:rsidR="007E762D" w:rsidRPr="00176532" w:rsidRDefault="007E762D" w:rsidP="00EB0173">
      <w:pPr>
        <w:spacing w:line="240" w:lineRule="auto"/>
        <w:jc w:val="both"/>
        <w:rPr>
          <w:sz w:val="18"/>
          <w:szCs w:val="18"/>
        </w:rPr>
      </w:pPr>
      <w:r w:rsidRPr="00176532">
        <w:rPr>
          <w:sz w:val="18"/>
          <w:szCs w:val="18"/>
        </w:rPr>
        <w:t xml:space="preserve">Source:  US Census Bureau 2010 Decennial Census—Block Level Data </w:t>
      </w:r>
    </w:p>
    <w:p w:rsidR="00BB4581" w:rsidRPr="00BB4581" w:rsidRDefault="00BB4581" w:rsidP="00EB0173">
      <w:pPr>
        <w:pStyle w:val="Caption"/>
        <w:keepNext/>
        <w:jc w:val="both"/>
        <w:rPr>
          <w:color w:val="auto"/>
        </w:rPr>
      </w:pPr>
      <w:r w:rsidRPr="00BB4581">
        <w:rPr>
          <w:color w:val="auto"/>
        </w:rPr>
        <w:lastRenderedPageBreak/>
        <w:t xml:space="preserve">Figure </w:t>
      </w:r>
      <w:r w:rsidRPr="00BB4581">
        <w:rPr>
          <w:color w:val="auto"/>
        </w:rPr>
        <w:fldChar w:fldCharType="begin"/>
      </w:r>
      <w:r w:rsidRPr="00BB4581">
        <w:rPr>
          <w:color w:val="auto"/>
        </w:rPr>
        <w:instrText xml:space="preserve"> SEQ Figure \* ARABIC </w:instrText>
      </w:r>
      <w:r w:rsidRPr="00BB4581">
        <w:rPr>
          <w:color w:val="auto"/>
        </w:rPr>
        <w:fldChar w:fldCharType="separate"/>
      </w:r>
      <w:r w:rsidR="00B91CD4">
        <w:rPr>
          <w:noProof/>
          <w:color w:val="auto"/>
        </w:rPr>
        <w:t>2</w:t>
      </w:r>
      <w:r w:rsidRPr="00BB4581">
        <w:rPr>
          <w:color w:val="auto"/>
        </w:rPr>
        <w:fldChar w:fldCharType="end"/>
      </w:r>
    </w:p>
    <w:p w:rsidR="007E762D" w:rsidRPr="007E762D" w:rsidRDefault="007E762D" w:rsidP="00EB0173">
      <w:pPr>
        <w:tabs>
          <w:tab w:val="left" w:pos="2250"/>
        </w:tabs>
        <w:spacing w:line="240" w:lineRule="auto"/>
        <w:jc w:val="both"/>
        <w:rPr>
          <w:sz w:val="24"/>
          <w:szCs w:val="24"/>
        </w:rPr>
      </w:pPr>
      <w:r w:rsidRPr="007E762D">
        <w:rPr>
          <w:noProof/>
          <w:sz w:val="24"/>
          <w:szCs w:val="24"/>
        </w:rPr>
        <w:drawing>
          <wp:inline distT="0" distB="0" distL="0" distR="0" wp14:anchorId="6751196C" wp14:editId="2D491FF3">
            <wp:extent cx="5943600" cy="4318000"/>
            <wp:effectExtent l="0" t="0" r="19050"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B0173" w:rsidRPr="00F018BC" w:rsidRDefault="007E762D" w:rsidP="005E1214">
      <w:pPr>
        <w:spacing w:after="0" w:line="240" w:lineRule="auto"/>
        <w:rPr>
          <w:sz w:val="18"/>
          <w:szCs w:val="18"/>
        </w:rPr>
      </w:pPr>
      <w:r w:rsidRPr="00F018BC">
        <w:rPr>
          <w:rFonts w:cstheme="minorHAnsi"/>
          <w:sz w:val="18"/>
          <w:szCs w:val="18"/>
        </w:rPr>
        <w:t xml:space="preserve">Source:  </w:t>
      </w:r>
      <w:r w:rsidRPr="00F018BC">
        <w:rPr>
          <w:sz w:val="18"/>
          <w:szCs w:val="18"/>
        </w:rPr>
        <w:t>US Census Bureau 2010 Decennial Census; Governor’s Office of Planning and Budget “Georgia 2030:  Population Projections”, March 12, 2010:</w:t>
      </w:r>
    </w:p>
    <w:p w:rsidR="007E762D" w:rsidRPr="00F018BC" w:rsidRDefault="00481858" w:rsidP="005E1214">
      <w:pPr>
        <w:spacing w:after="0" w:line="240" w:lineRule="auto"/>
        <w:rPr>
          <w:rFonts w:cstheme="minorHAnsi"/>
          <w:sz w:val="18"/>
          <w:szCs w:val="18"/>
        </w:rPr>
      </w:pPr>
      <w:hyperlink r:id="rId32" w:history="1">
        <w:r w:rsidR="007E762D" w:rsidRPr="00F018BC">
          <w:rPr>
            <w:rStyle w:val="Hyperlink"/>
            <w:b/>
            <w:sz w:val="18"/>
            <w:szCs w:val="18"/>
          </w:rPr>
          <w:t>http://www.georgialibraries.org/lib/construction/georgia_population_projections_march_2010.pdf</w:t>
        </w:r>
      </w:hyperlink>
      <w:r w:rsidR="007E762D" w:rsidRPr="00F018BC">
        <w:rPr>
          <w:sz w:val="18"/>
          <w:szCs w:val="18"/>
        </w:rPr>
        <w:t xml:space="preserve"> (last accessed 7/24/2014)</w:t>
      </w:r>
    </w:p>
    <w:p w:rsidR="007E762D" w:rsidRPr="00F018BC" w:rsidRDefault="007E762D" w:rsidP="00F018BC">
      <w:pPr>
        <w:pStyle w:val="Heading2"/>
      </w:pPr>
      <w:bookmarkStart w:id="13" w:name="_Toc395275932"/>
      <w:r w:rsidRPr="00F018BC">
        <w:t>Workforce Summary</w:t>
      </w:r>
      <w:bookmarkEnd w:id="13"/>
      <w:r w:rsidRPr="00F018BC" w:rsidDel="00727307">
        <w:t xml:space="preserve"> </w:t>
      </w:r>
    </w:p>
    <w:p w:rsidR="00340591" w:rsidRDefault="007E762D" w:rsidP="00EB0173">
      <w:pPr>
        <w:spacing w:line="240" w:lineRule="auto"/>
        <w:jc w:val="both"/>
        <w:rPr>
          <w:sz w:val="24"/>
          <w:szCs w:val="24"/>
        </w:rPr>
      </w:pPr>
      <w:r w:rsidRPr="007E762D">
        <w:rPr>
          <w:sz w:val="24"/>
          <w:szCs w:val="24"/>
        </w:rPr>
        <w:t xml:space="preserve">Significant gaps exist region-wide in workforce supply (employed persons in the region age 16 and older) and job supply. Only Athens-Clarke County has a positive gap in supply versus demand at +0.4%; slightly more people are coming into Athens-Clarke County for employment than are leaving. The remaining 11 counties see significant portions of their available workforce leaving the county for employment, with several seeing well over half their available work force having to commute outside the county for employment.  </w:t>
      </w:r>
    </w:p>
    <w:p w:rsidR="00340591" w:rsidRDefault="00340591" w:rsidP="00EB0173">
      <w:pPr>
        <w:jc w:val="both"/>
      </w:pPr>
      <w:r>
        <w:br w:type="page"/>
      </w:r>
    </w:p>
    <w:p w:rsidR="00AE7D4B" w:rsidRPr="00AE7D4B" w:rsidRDefault="00AE7D4B" w:rsidP="00EB0173">
      <w:pPr>
        <w:pStyle w:val="Caption"/>
        <w:keepNext/>
        <w:jc w:val="both"/>
        <w:rPr>
          <w:color w:val="auto"/>
        </w:rPr>
      </w:pPr>
      <w:r w:rsidRPr="00AE7D4B">
        <w:rPr>
          <w:color w:val="auto"/>
        </w:rPr>
        <w:lastRenderedPageBreak/>
        <w:t xml:space="preserve">Table </w:t>
      </w:r>
      <w:r w:rsidRPr="00AE7D4B">
        <w:rPr>
          <w:color w:val="auto"/>
        </w:rPr>
        <w:fldChar w:fldCharType="begin"/>
      </w:r>
      <w:r w:rsidRPr="00AE7D4B">
        <w:rPr>
          <w:color w:val="auto"/>
        </w:rPr>
        <w:instrText xml:space="preserve"> SEQ Table \* ARABIC </w:instrText>
      </w:r>
      <w:r w:rsidRPr="00AE7D4B">
        <w:rPr>
          <w:color w:val="auto"/>
        </w:rPr>
        <w:fldChar w:fldCharType="separate"/>
      </w:r>
      <w:r w:rsidR="00B91CD4">
        <w:rPr>
          <w:noProof/>
          <w:color w:val="auto"/>
        </w:rPr>
        <w:t>5</w:t>
      </w:r>
      <w:r w:rsidRPr="00AE7D4B">
        <w:rPr>
          <w:color w:val="auto"/>
        </w:rPr>
        <w:fldChar w:fldCharType="end"/>
      </w:r>
    </w:p>
    <w:tbl>
      <w:tblPr>
        <w:tblStyle w:val="LightShading-Accent5"/>
        <w:tblW w:w="5907" w:type="dxa"/>
        <w:tblLook w:val="04A0" w:firstRow="1" w:lastRow="0" w:firstColumn="1" w:lastColumn="0" w:noHBand="0" w:noVBand="1"/>
      </w:tblPr>
      <w:tblGrid>
        <w:gridCol w:w="1348"/>
        <w:gridCol w:w="1300"/>
        <w:gridCol w:w="1260"/>
        <w:gridCol w:w="1068"/>
        <w:gridCol w:w="931"/>
      </w:tblGrid>
      <w:tr w:rsidR="007E762D" w:rsidRPr="007E762D" w:rsidTr="00AE7D4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AE7D4B" w:rsidRDefault="007E762D" w:rsidP="00EB0173">
            <w:pPr>
              <w:jc w:val="both"/>
              <w:rPr>
                <w:rFonts w:eastAsia="Times New Roman" w:cs="Times New Roman"/>
                <w:b w:val="0"/>
                <w:bCs w:val="0"/>
                <w:color w:val="FFFFFF"/>
              </w:rPr>
            </w:pPr>
            <w:r w:rsidRPr="00AE7D4B">
              <w:rPr>
                <w:rFonts w:eastAsia="Times New Roman" w:cs="Times New Roman"/>
                <w:b w:val="0"/>
                <w:bCs w:val="0"/>
                <w:color w:val="FFFFFF"/>
              </w:rPr>
              <w:t> </w:t>
            </w:r>
          </w:p>
        </w:tc>
        <w:tc>
          <w:tcPr>
            <w:tcW w:w="1300" w:type="dxa"/>
            <w:noWrap/>
            <w:hideMark/>
          </w:tcPr>
          <w:p w:rsidR="007E762D" w:rsidRPr="00AE7D4B"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rPr>
            </w:pPr>
            <w:r w:rsidRPr="00AE7D4B">
              <w:rPr>
                <w:rFonts w:eastAsia="Times New Roman" w:cs="Times New Roman"/>
                <w:b w:val="0"/>
                <w:bCs w:val="0"/>
                <w:color w:val="FFFFFF"/>
              </w:rPr>
              <w:t> </w:t>
            </w:r>
          </w:p>
        </w:tc>
        <w:tc>
          <w:tcPr>
            <w:tcW w:w="1260" w:type="dxa"/>
            <w:noWrap/>
            <w:hideMark/>
          </w:tcPr>
          <w:p w:rsidR="007E762D" w:rsidRPr="00AE7D4B"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rPr>
            </w:pPr>
            <w:r w:rsidRPr="00AE7D4B">
              <w:rPr>
                <w:rFonts w:eastAsia="Times New Roman" w:cs="Times New Roman"/>
                <w:b w:val="0"/>
                <w:bCs w:val="0"/>
                <w:color w:val="FFFFFF"/>
              </w:rPr>
              <w:t> </w:t>
            </w:r>
          </w:p>
        </w:tc>
        <w:tc>
          <w:tcPr>
            <w:tcW w:w="1999" w:type="dxa"/>
            <w:gridSpan w:val="2"/>
            <w:noWrap/>
            <w:hideMark/>
          </w:tcPr>
          <w:p w:rsidR="007E762D" w:rsidRPr="00AE7D4B"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AE7D4B">
              <w:rPr>
                <w:rFonts w:eastAsia="Times New Roman" w:cs="Times New Roman"/>
                <w:bCs w:val="0"/>
              </w:rPr>
              <w:t>Gap</w:t>
            </w:r>
          </w:p>
        </w:tc>
      </w:tr>
      <w:tr w:rsidR="007E762D" w:rsidRPr="00EB0173" w:rsidTr="00AE7D4B">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EB0173" w:rsidRDefault="007E762D" w:rsidP="00EB0173">
            <w:pPr>
              <w:jc w:val="center"/>
              <w:rPr>
                <w:rFonts w:eastAsia="Times New Roman" w:cs="Times New Roman"/>
                <w:color w:val="000000"/>
              </w:rPr>
            </w:pPr>
          </w:p>
        </w:tc>
        <w:tc>
          <w:tcPr>
            <w:tcW w:w="1300" w:type="dxa"/>
            <w:hideMark/>
          </w:tcPr>
          <w:p w:rsidR="007E762D" w:rsidRPr="00EB0173" w:rsidRDefault="007E762D" w:rsidP="00EB01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Cs/>
                <w:color w:val="000000"/>
              </w:rPr>
            </w:pPr>
            <w:r w:rsidRPr="00EB0173">
              <w:rPr>
                <w:rFonts w:eastAsia="Times New Roman" w:cs="Times New Roman"/>
                <w:b/>
                <w:iCs/>
                <w:color w:val="000000"/>
              </w:rPr>
              <w:t>Workforce</w:t>
            </w:r>
            <w:r w:rsidRPr="00EB0173">
              <w:rPr>
                <w:rFonts w:eastAsia="Times New Roman" w:cs="Times New Roman"/>
                <w:b/>
                <w:iCs/>
                <w:color w:val="000000"/>
              </w:rPr>
              <w:br/>
              <w:t>(Supply)</w:t>
            </w:r>
          </w:p>
        </w:tc>
        <w:tc>
          <w:tcPr>
            <w:tcW w:w="1260" w:type="dxa"/>
            <w:hideMark/>
          </w:tcPr>
          <w:p w:rsidR="007E762D" w:rsidRPr="00EB0173" w:rsidRDefault="007E762D" w:rsidP="00EB01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Cs/>
                <w:color w:val="000000"/>
              </w:rPr>
            </w:pPr>
            <w:r w:rsidRPr="00EB0173">
              <w:rPr>
                <w:rFonts w:eastAsia="Times New Roman" w:cs="Times New Roman"/>
                <w:b/>
                <w:iCs/>
                <w:color w:val="000000"/>
              </w:rPr>
              <w:t>Jobs</w:t>
            </w:r>
            <w:r w:rsidRPr="00EB0173">
              <w:rPr>
                <w:rFonts w:eastAsia="Times New Roman" w:cs="Times New Roman"/>
                <w:b/>
                <w:iCs/>
                <w:color w:val="000000"/>
              </w:rPr>
              <w:br/>
              <w:t>(Demand)</w:t>
            </w:r>
          </w:p>
        </w:tc>
        <w:tc>
          <w:tcPr>
            <w:tcW w:w="1068" w:type="dxa"/>
            <w:noWrap/>
            <w:hideMark/>
          </w:tcPr>
          <w:p w:rsidR="007E762D" w:rsidRPr="00EB0173" w:rsidRDefault="007E762D" w:rsidP="00EB01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Cs/>
                <w:color w:val="000000"/>
              </w:rPr>
            </w:pPr>
            <w:r w:rsidRPr="00EB0173">
              <w:rPr>
                <w:rFonts w:eastAsia="Times New Roman" w:cs="Times New Roman"/>
                <w:b/>
                <w:iCs/>
                <w:color w:val="000000"/>
              </w:rPr>
              <w:t>#</w:t>
            </w:r>
          </w:p>
        </w:tc>
        <w:tc>
          <w:tcPr>
            <w:tcW w:w="931" w:type="dxa"/>
            <w:noWrap/>
            <w:hideMark/>
          </w:tcPr>
          <w:p w:rsidR="007E762D" w:rsidRPr="00EB0173" w:rsidRDefault="007E762D" w:rsidP="00EB017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Cs/>
                <w:color w:val="000000"/>
              </w:rPr>
            </w:pPr>
            <w:r w:rsidRPr="00EB0173">
              <w:rPr>
                <w:rFonts w:eastAsia="Times New Roman" w:cs="Times New Roman"/>
                <w:b/>
                <w:iCs/>
                <w:color w:val="000000"/>
              </w:rPr>
              <w:t>%</w:t>
            </w:r>
          </w:p>
        </w:tc>
      </w:tr>
      <w:tr w:rsidR="007E762D" w:rsidRPr="007E762D" w:rsidTr="00AE7D4B">
        <w:trPr>
          <w:trHeight w:val="30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Barrow</w:t>
            </w:r>
          </w:p>
        </w:tc>
        <w:tc>
          <w:tcPr>
            <w:tcW w:w="130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31,360</w:t>
            </w:r>
          </w:p>
        </w:tc>
        <w:tc>
          <w:tcPr>
            <w:tcW w:w="12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16,789</w:t>
            </w:r>
          </w:p>
        </w:tc>
        <w:tc>
          <w:tcPr>
            <w:tcW w:w="1068"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(14,571)</w:t>
            </w:r>
          </w:p>
        </w:tc>
        <w:tc>
          <w:tcPr>
            <w:tcW w:w="931"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-46.5%</w:t>
            </w:r>
          </w:p>
        </w:tc>
      </w:tr>
      <w:tr w:rsidR="007E762D" w:rsidRPr="007E762D" w:rsidTr="00AE7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Clarke</w:t>
            </w:r>
          </w:p>
        </w:tc>
        <w:tc>
          <w:tcPr>
            <w:tcW w:w="130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64,858</w:t>
            </w:r>
          </w:p>
        </w:tc>
        <w:tc>
          <w:tcPr>
            <w:tcW w:w="126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65,091</w:t>
            </w:r>
          </w:p>
        </w:tc>
        <w:tc>
          <w:tcPr>
            <w:tcW w:w="1068"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 xml:space="preserve">233 </w:t>
            </w:r>
          </w:p>
        </w:tc>
        <w:tc>
          <w:tcPr>
            <w:tcW w:w="931"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0.4%</w:t>
            </w:r>
          </w:p>
        </w:tc>
      </w:tr>
      <w:tr w:rsidR="007E762D" w:rsidRPr="007E762D" w:rsidTr="00AE7D4B">
        <w:trPr>
          <w:trHeight w:val="30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Elbert</w:t>
            </w:r>
          </w:p>
        </w:tc>
        <w:tc>
          <w:tcPr>
            <w:tcW w:w="130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7,930</w:t>
            </w:r>
          </w:p>
        </w:tc>
        <w:tc>
          <w:tcPr>
            <w:tcW w:w="12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5,786</w:t>
            </w:r>
          </w:p>
        </w:tc>
        <w:tc>
          <w:tcPr>
            <w:tcW w:w="1068"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(2,144)</w:t>
            </w:r>
          </w:p>
        </w:tc>
        <w:tc>
          <w:tcPr>
            <w:tcW w:w="931"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-27.0%</w:t>
            </w:r>
          </w:p>
        </w:tc>
      </w:tr>
      <w:tr w:rsidR="007E762D" w:rsidRPr="007E762D" w:rsidTr="00AE7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Greene</w:t>
            </w:r>
          </w:p>
        </w:tc>
        <w:tc>
          <w:tcPr>
            <w:tcW w:w="130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6,610</w:t>
            </w:r>
          </w:p>
        </w:tc>
        <w:tc>
          <w:tcPr>
            <w:tcW w:w="126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5,239</w:t>
            </w:r>
          </w:p>
        </w:tc>
        <w:tc>
          <w:tcPr>
            <w:tcW w:w="1068"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(1,371)</w:t>
            </w:r>
          </w:p>
        </w:tc>
        <w:tc>
          <w:tcPr>
            <w:tcW w:w="931"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-20.7%</w:t>
            </w:r>
          </w:p>
        </w:tc>
      </w:tr>
      <w:tr w:rsidR="007E762D" w:rsidRPr="007E762D" w:rsidTr="00AE7D4B">
        <w:trPr>
          <w:trHeight w:val="30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Jackson</w:t>
            </w:r>
          </w:p>
        </w:tc>
        <w:tc>
          <w:tcPr>
            <w:tcW w:w="130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25,728</w:t>
            </w:r>
          </w:p>
        </w:tc>
        <w:tc>
          <w:tcPr>
            <w:tcW w:w="12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19,498</w:t>
            </w:r>
          </w:p>
        </w:tc>
        <w:tc>
          <w:tcPr>
            <w:tcW w:w="1068"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(6,230)</w:t>
            </w:r>
          </w:p>
        </w:tc>
        <w:tc>
          <w:tcPr>
            <w:tcW w:w="931"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-24.2%</w:t>
            </w:r>
          </w:p>
        </w:tc>
      </w:tr>
      <w:tr w:rsidR="007E762D" w:rsidRPr="007E762D" w:rsidTr="00AE7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Jasper</w:t>
            </w:r>
          </w:p>
        </w:tc>
        <w:tc>
          <w:tcPr>
            <w:tcW w:w="130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5,703</w:t>
            </w:r>
          </w:p>
        </w:tc>
        <w:tc>
          <w:tcPr>
            <w:tcW w:w="126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2,072</w:t>
            </w:r>
          </w:p>
        </w:tc>
        <w:tc>
          <w:tcPr>
            <w:tcW w:w="1068"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(3,631)</w:t>
            </w:r>
          </w:p>
        </w:tc>
        <w:tc>
          <w:tcPr>
            <w:tcW w:w="931"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-63.7%</w:t>
            </w:r>
          </w:p>
        </w:tc>
      </w:tr>
      <w:tr w:rsidR="007E762D" w:rsidRPr="007E762D" w:rsidTr="00AE7D4B">
        <w:trPr>
          <w:trHeight w:val="30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Madison</w:t>
            </w:r>
          </w:p>
        </w:tc>
        <w:tc>
          <w:tcPr>
            <w:tcW w:w="130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15,101</w:t>
            </w:r>
          </w:p>
        </w:tc>
        <w:tc>
          <w:tcPr>
            <w:tcW w:w="12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3,046</w:t>
            </w:r>
          </w:p>
        </w:tc>
        <w:tc>
          <w:tcPr>
            <w:tcW w:w="1068"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(12,055)</w:t>
            </w:r>
          </w:p>
        </w:tc>
        <w:tc>
          <w:tcPr>
            <w:tcW w:w="931"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-79.8%</w:t>
            </w:r>
          </w:p>
        </w:tc>
      </w:tr>
      <w:tr w:rsidR="007E762D" w:rsidRPr="007E762D" w:rsidTr="00AE7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Morgan</w:t>
            </w:r>
          </w:p>
        </w:tc>
        <w:tc>
          <w:tcPr>
            <w:tcW w:w="130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8,389</w:t>
            </w:r>
          </w:p>
        </w:tc>
        <w:tc>
          <w:tcPr>
            <w:tcW w:w="126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5,926</w:t>
            </w:r>
          </w:p>
        </w:tc>
        <w:tc>
          <w:tcPr>
            <w:tcW w:w="1068"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(2,463)</w:t>
            </w:r>
          </w:p>
        </w:tc>
        <w:tc>
          <w:tcPr>
            <w:tcW w:w="931"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-29.4%</w:t>
            </w:r>
          </w:p>
        </w:tc>
      </w:tr>
      <w:tr w:rsidR="007E762D" w:rsidRPr="007E762D" w:rsidTr="00AE7D4B">
        <w:trPr>
          <w:trHeight w:val="30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Newton</w:t>
            </w:r>
          </w:p>
        </w:tc>
        <w:tc>
          <w:tcPr>
            <w:tcW w:w="130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43,376</w:t>
            </w:r>
          </w:p>
        </w:tc>
        <w:tc>
          <w:tcPr>
            <w:tcW w:w="12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20,557</w:t>
            </w:r>
          </w:p>
        </w:tc>
        <w:tc>
          <w:tcPr>
            <w:tcW w:w="1068"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(22,819)</w:t>
            </w:r>
          </w:p>
        </w:tc>
        <w:tc>
          <w:tcPr>
            <w:tcW w:w="931"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-52.6%</w:t>
            </w:r>
          </w:p>
        </w:tc>
      </w:tr>
      <w:tr w:rsidR="007E762D" w:rsidRPr="007E762D" w:rsidTr="00AE7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Oconee</w:t>
            </w:r>
          </w:p>
        </w:tc>
        <w:tc>
          <w:tcPr>
            <w:tcW w:w="130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18,632</w:t>
            </w:r>
          </w:p>
        </w:tc>
        <w:tc>
          <w:tcPr>
            <w:tcW w:w="126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8,981</w:t>
            </w:r>
          </w:p>
        </w:tc>
        <w:tc>
          <w:tcPr>
            <w:tcW w:w="1068"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(9,651)</w:t>
            </w:r>
          </w:p>
        </w:tc>
        <w:tc>
          <w:tcPr>
            <w:tcW w:w="931"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-51.8%</w:t>
            </w:r>
          </w:p>
        </w:tc>
      </w:tr>
      <w:tr w:rsidR="007E762D" w:rsidRPr="007E762D" w:rsidTr="00AE7D4B">
        <w:trPr>
          <w:trHeight w:val="300"/>
        </w:trPr>
        <w:tc>
          <w:tcPr>
            <w:cnfStyle w:val="001000000000" w:firstRow="0" w:lastRow="0" w:firstColumn="1" w:lastColumn="0" w:oddVBand="0" w:evenVBand="0" w:oddHBand="0" w:evenHBand="0" w:firstRowFirstColumn="0" w:firstRowLastColumn="0" w:lastRowFirstColumn="0" w:lastRowLastColumn="0"/>
            <w:tcW w:w="1348"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Oglethorpe</w:t>
            </w:r>
          </w:p>
        </w:tc>
        <w:tc>
          <w:tcPr>
            <w:tcW w:w="130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7,732</w:t>
            </w:r>
          </w:p>
        </w:tc>
        <w:tc>
          <w:tcPr>
            <w:tcW w:w="12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1,799</w:t>
            </w:r>
          </w:p>
        </w:tc>
        <w:tc>
          <w:tcPr>
            <w:tcW w:w="1068"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(5,933)</w:t>
            </w:r>
          </w:p>
        </w:tc>
        <w:tc>
          <w:tcPr>
            <w:tcW w:w="931"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-76.7%</w:t>
            </w:r>
          </w:p>
        </w:tc>
      </w:tr>
      <w:tr w:rsidR="007E762D" w:rsidRPr="007E762D" w:rsidTr="000A1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dxa"/>
            <w:tcBorders>
              <w:bottom w:val="nil"/>
            </w:tcBorders>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Walton</w:t>
            </w:r>
          </w:p>
        </w:tc>
        <w:tc>
          <w:tcPr>
            <w:tcW w:w="1300" w:type="dxa"/>
            <w:tcBorders>
              <w:bottom w:val="nil"/>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37,198</w:t>
            </w:r>
          </w:p>
        </w:tc>
        <w:tc>
          <w:tcPr>
            <w:tcW w:w="1260" w:type="dxa"/>
            <w:tcBorders>
              <w:bottom w:val="nil"/>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18,904</w:t>
            </w:r>
          </w:p>
        </w:tc>
        <w:tc>
          <w:tcPr>
            <w:tcW w:w="1068" w:type="dxa"/>
            <w:tcBorders>
              <w:bottom w:val="nil"/>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(18,294)</w:t>
            </w:r>
          </w:p>
        </w:tc>
        <w:tc>
          <w:tcPr>
            <w:tcW w:w="931" w:type="dxa"/>
            <w:tcBorders>
              <w:bottom w:val="nil"/>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-49.2%</w:t>
            </w:r>
          </w:p>
        </w:tc>
      </w:tr>
      <w:tr w:rsidR="007E762D" w:rsidRPr="007E762D" w:rsidTr="000A17AA">
        <w:trPr>
          <w:trHeight w:val="300"/>
        </w:trPr>
        <w:tc>
          <w:tcPr>
            <w:cnfStyle w:val="001000000000" w:firstRow="0" w:lastRow="0" w:firstColumn="1" w:lastColumn="0" w:oddVBand="0" w:evenVBand="0" w:oddHBand="0" w:evenHBand="0" w:firstRowFirstColumn="0" w:firstRowLastColumn="0" w:lastRowFirstColumn="0" w:lastRowLastColumn="0"/>
            <w:tcW w:w="1348" w:type="dxa"/>
            <w:tcBorders>
              <w:top w:val="nil"/>
              <w:bottom w:val="single" w:sz="8" w:space="0" w:color="4BACC6" w:themeColor="accent5"/>
            </w:tcBorders>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REGION</w:t>
            </w:r>
          </w:p>
        </w:tc>
        <w:tc>
          <w:tcPr>
            <w:tcW w:w="1300" w:type="dxa"/>
            <w:tcBorders>
              <w:top w:val="nil"/>
              <w:bottom w:val="single" w:sz="8" w:space="0" w:color="4BACC6" w:themeColor="accent5"/>
            </w:tcBorders>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272,617</w:t>
            </w:r>
          </w:p>
        </w:tc>
        <w:tc>
          <w:tcPr>
            <w:tcW w:w="1260" w:type="dxa"/>
            <w:tcBorders>
              <w:top w:val="nil"/>
              <w:bottom w:val="single" w:sz="8" w:space="0" w:color="4BACC6" w:themeColor="accent5"/>
            </w:tcBorders>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173,688</w:t>
            </w:r>
          </w:p>
        </w:tc>
        <w:tc>
          <w:tcPr>
            <w:tcW w:w="1068" w:type="dxa"/>
            <w:tcBorders>
              <w:top w:val="nil"/>
              <w:bottom w:val="single" w:sz="8" w:space="0" w:color="4BACC6" w:themeColor="accent5"/>
            </w:tcBorders>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FF0000"/>
              </w:rPr>
              <w:t>(98,929)</w:t>
            </w:r>
          </w:p>
        </w:tc>
        <w:tc>
          <w:tcPr>
            <w:tcW w:w="931" w:type="dxa"/>
            <w:tcBorders>
              <w:top w:val="nil"/>
              <w:bottom w:val="single" w:sz="8" w:space="0" w:color="4BACC6" w:themeColor="accent5"/>
            </w:tcBorders>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-36.3%</w:t>
            </w:r>
          </w:p>
        </w:tc>
      </w:tr>
      <w:tr w:rsidR="00AE7D4B" w:rsidRPr="007E762D" w:rsidTr="000A1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07" w:type="dxa"/>
            <w:gridSpan w:val="5"/>
            <w:tcBorders>
              <w:top w:val="single" w:sz="8" w:space="0" w:color="4BACC6" w:themeColor="accent5"/>
              <w:bottom w:val="nil"/>
            </w:tcBorders>
            <w:shd w:val="clear" w:color="auto" w:fill="FFFFFF" w:themeFill="background1"/>
            <w:noWrap/>
          </w:tcPr>
          <w:p w:rsidR="000A17AA" w:rsidRPr="000A17AA" w:rsidRDefault="000A17AA" w:rsidP="00EB0173">
            <w:pPr>
              <w:jc w:val="both"/>
              <w:rPr>
                <w:b w:val="0"/>
                <w:sz w:val="18"/>
                <w:szCs w:val="18"/>
              </w:rPr>
            </w:pPr>
            <w:r w:rsidRPr="000A17AA">
              <w:rPr>
                <w:b w:val="0"/>
                <w:sz w:val="18"/>
                <w:szCs w:val="18"/>
              </w:rPr>
              <w:t xml:space="preserve">Source:  Georgia Department of Labor Area Labor Profile (June 2014) for 2012/2013 </w:t>
            </w:r>
          </w:p>
          <w:p w:rsidR="00AE7D4B" w:rsidRPr="00AE7D4B" w:rsidRDefault="00AE7D4B" w:rsidP="00EB0173">
            <w:pPr>
              <w:jc w:val="both"/>
              <w:rPr>
                <w:rFonts w:eastAsia="Times New Roman" w:cs="Times New Roman"/>
                <w:color w:val="000000"/>
              </w:rPr>
            </w:pPr>
          </w:p>
        </w:tc>
      </w:tr>
    </w:tbl>
    <w:p w:rsidR="007E762D" w:rsidRPr="00F018BC" w:rsidRDefault="007E762D" w:rsidP="00F018BC">
      <w:pPr>
        <w:pStyle w:val="Heading2"/>
      </w:pPr>
      <w:bookmarkStart w:id="14" w:name="_Toc395275933"/>
      <w:r w:rsidRPr="00F018BC">
        <w:t>Educational Attainment</w:t>
      </w:r>
      <w:bookmarkEnd w:id="14"/>
    </w:p>
    <w:p w:rsidR="007E762D" w:rsidRPr="007E762D" w:rsidRDefault="007E762D" w:rsidP="00EB0173">
      <w:pPr>
        <w:spacing w:line="240" w:lineRule="auto"/>
        <w:jc w:val="both"/>
        <w:rPr>
          <w:sz w:val="24"/>
          <w:szCs w:val="24"/>
        </w:rPr>
      </w:pPr>
      <w:r w:rsidRPr="007E762D">
        <w:rPr>
          <w:sz w:val="24"/>
          <w:szCs w:val="24"/>
        </w:rPr>
        <w:t xml:space="preserve">Nearly 26,000 persons were enrolled in the high school in public school systems throughout the Northeast Georgia in the 2012/2013 school year (as of March 1, 2013), and approximately 5,100 graduated. Approximately 82% of the region has completed high school, and slightly under 30% of the region has received an associate’s degree or higher. Four counties (Athens-Clarke, Jasper, Newton, and Oconee) have a higher percentage of high school graduates than the region as a whole, though most of the counties sit around the region average. Athens-Clarke and Oconee stand out with approximately 45% each of the population receiving an associate’s degree or higher. This is likely attributable to the presence of and proximity to the main campus of the University of Georgia.  </w:t>
      </w:r>
    </w:p>
    <w:p w:rsidR="000A17AA" w:rsidRPr="000A17AA" w:rsidRDefault="000A17AA" w:rsidP="00EB0173">
      <w:pPr>
        <w:pStyle w:val="Caption"/>
        <w:keepNext/>
        <w:jc w:val="both"/>
        <w:rPr>
          <w:color w:val="auto"/>
        </w:rPr>
      </w:pPr>
      <w:r w:rsidRPr="000A17AA">
        <w:rPr>
          <w:color w:val="auto"/>
        </w:rPr>
        <w:t xml:space="preserve">Table </w:t>
      </w:r>
      <w:r w:rsidRPr="000A17AA">
        <w:rPr>
          <w:color w:val="auto"/>
        </w:rPr>
        <w:fldChar w:fldCharType="begin"/>
      </w:r>
      <w:r w:rsidRPr="000A17AA">
        <w:rPr>
          <w:color w:val="auto"/>
        </w:rPr>
        <w:instrText xml:space="preserve"> SEQ Table \* ARABIC </w:instrText>
      </w:r>
      <w:r w:rsidRPr="000A17AA">
        <w:rPr>
          <w:color w:val="auto"/>
        </w:rPr>
        <w:fldChar w:fldCharType="separate"/>
      </w:r>
      <w:r w:rsidR="00B91CD4">
        <w:rPr>
          <w:noProof/>
          <w:color w:val="auto"/>
        </w:rPr>
        <w:t>6</w:t>
      </w:r>
      <w:r w:rsidRPr="000A17AA">
        <w:rPr>
          <w:color w:val="auto"/>
        </w:rPr>
        <w:fldChar w:fldCharType="end"/>
      </w:r>
    </w:p>
    <w:tbl>
      <w:tblPr>
        <w:tblStyle w:val="LightShading-Accent5"/>
        <w:tblW w:w="5321" w:type="dxa"/>
        <w:tblLook w:val="04A0" w:firstRow="1" w:lastRow="0" w:firstColumn="1" w:lastColumn="0" w:noHBand="0" w:noVBand="1"/>
      </w:tblPr>
      <w:tblGrid>
        <w:gridCol w:w="1481"/>
        <w:gridCol w:w="2120"/>
        <w:gridCol w:w="1720"/>
      </w:tblGrid>
      <w:tr w:rsidR="000A17AA" w:rsidRPr="000A17AA" w:rsidTr="000A17AA">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rPr>
                <w:rFonts w:eastAsia="Times New Roman" w:cs="Times New Roman"/>
                <w:bCs w:val="0"/>
              </w:rPr>
            </w:pPr>
          </w:p>
        </w:tc>
        <w:tc>
          <w:tcPr>
            <w:tcW w:w="2120" w:type="dxa"/>
            <w:hideMark/>
          </w:tcPr>
          <w:p w:rsidR="007E762D" w:rsidRPr="000A17AA" w:rsidRDefault="007E762D" w:rsidP="00EB0173">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0A17AA">
              <w:rPr>
                <w:rFonts w:eastAsia="Times New Roman" w:cs="Times New Roman"/>
                <w:bCs w:val="0"/>
              </w:rPr>
              <w:t xml:space="preserve">High School Graduate </w:t>
            </w:r>
            <w:r w:rsidRPr="000A17AA">
              <w:rPr>
                <w:rFonts w:eastAsia="Times New Roman" w:cs="Times New Roman"/>
                <w:bCs w:val="0"/>
              </w:rPr>
              <w:br/>
              <w:t>or Greater</w:t>
            </w:r>
          </w:p>
        </w:tc>
        <w:tc>
          <w:tcPr>
            <w:tcW w:w="1720" w:type="dxa"/>
            <w:hideMark/>
          </w:tcPr>
          <w:p w:rsidR="007E762D" w:rsidRPr="000A17AA" w:rsidRDefault="007E762D" w:rsidP="00EB0173">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0A17AA">
              <w:rPr>
                <w:rFonts w:eastAsia="Times New Roman" w:cs="Times New Roman"/>
                <w:bCs w:val="0"/>
              </w:rPr>
              <w:t xml:space="preserve">Associate Degree </w:t>
            </w:r>
            <w:r w:rsidRPr="000A17AA">
              <w:rPr>
                <w:rFonts w:eastAsia="Times New Roman" w:cs="Times New Roman"/>
                <w:bCs w:val="0"/>
              </w:rPr>
              <w:br/>
              <w:t>or Greater</w:t>
            </w:r>
          </w:p>
        </w:tc>
      </w:tr>
      <w:tr w:rsidR="007E762D" w:rsidRPr="007E762D" w:rsidTr="000A1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Barrow</w:t>
            </w:r>
          </w:p>
        </w:tc>
        <w:tc>
          <w:tcPr>
            <w:tcW w:w="21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79.5%</w:t>
            </w:r>
          </w:p>
        </w:tc>
        <w:tc>
          <w:tcPr>
            <w:tcW w:w="17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23.5%</w:t>
            </w:r>
          </w:p>
        </w:tc>
      </w:tr>
      <w:tr w:rsidR="007E762D" w:rsidRPr="007E762D" w:rsidTr="000A17AA">
        <w:trPr>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Clarke</w:t>
            </w:r>
          </w:p>
        </w:tc>
        <w:tc>
          <w:tcPr>
            <w:tcW w:w="21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0A17AA">
              <w:rPr>
                <w:rFonts w:eastAsia="Times New Roman" w:cs="Times New Roman"/>
                <w:b/>
                <w:bCs/>
                <w:color w:val="000000"/>
              </w:rPr>
              <w:t>85.1%</w:t>
            </w:r>
          </w:p>
        </w:tc>
        <w:tc>
          <w:tcPr>
            <w:tcW w:w="17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0A17AA">
              <w:rPr>
                <w:rFonts w:eastAsia="Times New Roman" w:cs="Times New Roman"/>
                <w:b/>
                <w:bCs/>
                <w:color w:val="000000"/>
              </w:rPr>
              <w:t>45.5%</w:t>
            </w:r>
          </w:p>
        </w:tc>
      </w:tr>
      <w:tr w:rsidR="007E762D" w:rsidRPr="007E762D" w:rsidTr="000A1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Elbert</w:t>
            </w:r>
          </w:p>
        </w:tc>
        <w:tc>
          <w:tcPr>
            <w:tcW w:w="21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75.9%</w:t>
            </w:r>
          </w:p>
        </w:tc>
        <w:tc>
          <w:tcPr>
            <w:tcW w:w="17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16.9%</w:t>
            </w:r>
          </w:p>
        </w:tc>
      </w:tr>
      <w:tr w:rsidR="007E762D" w:rsidRPr="007E762D" w:rsidTr="000A17AA">
        <w:trPr>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Greene</w:t>
            </w:r>
          </w:p>
        </w:tc>
        <w:tc>
          <w:tcPr>
            <w:tcW w:w="21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76.3%</w:t>
            </w:r>
          </w:p>
        </w:tc>
        <w:tc>
          <w:tcPr>
            <w:tcW w:w="17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25.9%</w:t>
            </w:r>
          </w:p>
        </w:tc>
      </w:tr>
      <w:tr w:rsidR="007E762D" w:rsidRPr="007E762D" w:rsidTr="000A1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Jackson</w:t>
            </w:r>
          </w:p>
        </w:tc>
        <w:tc>
          <w:tcPr>
            <w:tcW w:w="21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79.9%</w:t>
            </w:r>
          </w:p>
        </w:tc>
        <w:tc>
          <w:tcPr>
            <w:tcW w:w="17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24.6%</w:t>
            </w:r>
          </w:p>
        </w:tc>
      </w:tr>
      <w:tr w:rsidR="007E762D" w:rsidRPr="007E762D" w:rsidTr="000A17AA">
        <w:trPr>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Jasper</w:t>
            </w:r>
          </w:p>
        </w:tc>
        <w:tc>
          <w:tcPr>
            <w:tcW w:w="21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0A17AA">
              <w:rPr>
                <w:rFonts w:eastAsia="Times New Roman" w:cs="Times New Roman"/>
                <w:b/>
                <w:bCs/>
                <w:color w:val="000000"/>
              </w:rPr>
              <w:t>81.8%</w:t>
            </w:r>
          </w:p>
        </w:tc>
        <w:tc>
          <w:tcPr>
            <w:tcW w:w="17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24.5%</w:t>
            </w:r>
          </w:p>
        </w:tc>
      </w:tr>
      <w:tr w:rsidR="007E762D" w:rsidRPr="007E762D" w:rsidTr="000A1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lastRenderedPageBreak/>
              <w:t>Madison</w:t>
            </w:r>
          </w:p>
        </w:tc>
        <w:tc>
          <w:tcPr>
            <w:tcW w:w="21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74.6%</w:t>
            </w:r>
          </w:p>
        </w:tc>
        <w:tc>
          <w:tcPr>
            <w:tcW w:w="17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17.8%</w:t>
            </w:r>
          </w:p>
        </w:tc>
      </w:tr>
      <w:tr w:rsidR="007E762D" w:rsidRPr="007E762D" w:rsidTr="000A17AA">
        <w:trPr>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Morgan</w:t>
            </w:r>
          </w:p>
        </w:tc>
        <w:tc>
          <w:tcPr>
            <w:tcW w:w="21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80.2%</w:t>
            </w:r>
          </w:p>
        </w:tc>
        <w:tc>
          <w:tcPr>
            <w:tcW w:w="17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0A17AA">
              <w:rPr>
                <w:rFonts w:eastAsia="Times New Roman" w:cs="Times New Roman"/>
                <w:b/>
                <w:bCs/>
                <w:color w:val="000000"/>
              </w:rPr>
              <w:t>29.9%</w:t>
            </w:r>
          </w:p>
        </w:tc>
      </w:tr>
      <w:tr w:rsidR="007E762D" w:rsidRPr="007E762D" w:rsidTr="000A1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Newton</w:t>
            </w:r>
          </w:p>
        </w:tc>
        <w:tc>
          <w:tcPr>
            <w:tcW w:w="21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rPr>
            </w:pPr>
            <w:r w:rsidRPr="000A17AA">
              <w:rPr>
                <w:rFonts w:eastAsia="Times New Roman" w:cs="Times New Roman"/>
                <w:b/>
                <w:bCs/>
                <w:color w:val="000000"/>
              </w:rPr>
              <w:t>84.2%</w:t>
            </w:r>
          </w:p>
        </w:tc>
        <w:tc>
          <w:tcPr>
            <w:tcW w:w="17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26.5%</w:t>
            </w:r>
          </w:p>
        </w:tc>
      </w:tr>
      <w:tr w:rsidR="007E762D" w:rsidRPr="007E762D" w:rsidTr="000A17AA">
        <w:trPr>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Oconee</w:t>
            </w:r>
          </w:p>
        </w:tc>
        <w:tc>
          <w:tcPr>
            <w:tcW w:w="21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0A17AA">
              <w:rPr>
                <w:rFonts w:eastAsia="Times New Roman" w:cs="Times New Roman"/>
                <w:b/>
                <w:bCs/>
                <w:color w:val="000000"/>
              </w:rPr>
              <w:t>84.9%</w:t>
            </w:r>
          </w:p>
        </w:tc>
        <w:tc>
          <w:tcPr>
            <w:tcW w:w="17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0A17AA">
              <w:rPr>
                <w:rFonts w:eastAsia="Times New Roman" w:cs="Times New Roman"/>
                <w:b/>
                <w:bCs/>
                <w:color w:val="000000"/>
              </w:rPr>
              <w:t>45.3%</w:t>
            </w:r>
          </w:p>
        </w:tc>
      </w:tr>
      <w:tr w:rsidR="007E762D" w:rsidRPr="007E762D" w:rsidTr="000A1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Oglethorpe</w:t>
            </w:r>
          </w:p>
        </w:tc>
        <w:tc>
          <w:tcPr>
            <w:tcW w:w="21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76.7%</w:t>
            </w:r>
          </w:p>
        </w:tc>
        <w:tc>
          <w:tcPr>
            <w:tcW w:w="1720" w:type="dxa"/>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21.8%</w:t>
            </w:r>
          </w:p>
        </w:tc>
      </w:tr>
      <w:tr w:rsidR="007E762D" w:rsidRPr="007E762D" w:rsidTr="000A17AA">
        <w:trPr>
          <w:trHeight w:val="300"/>
        </w:trPr>
        <w:tc>
          <w:tcPr>
            <w:cnfStyle w:val="001000000000" w:firstRow="0" w:lastRow="0" w:firstColumn="1" w:lastColumn="0" w:oddVBand="0" w:evenVBand="0" w:oddHBand="0" w:evenHBand="0" w:firstRowFirstColumn="0" w:firstRowLastColumn="0" w:lastRowFirstColumn="0" w:lastRowLastColumn="0"/>
            <w:tcW w:w="1481" w:type="dxa"/>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Walton</w:t>
            </w:r>
          </w:p>
        </w:tc>
        <w:tc>
          <w:tcPr>
            <w:tcW w:w="21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81.1%</w:t>
            </w:r>
          </w:p>
        </w:tc>
        <w:tc>
          <w:tcPr>
            <w:tcW w:w="1720" w:type="dxa"/>
            <w:noWrap/>
            <w:hideMark/>
          </w:tcPr>
          <w:p w:rsidR="007E762D" w:rsidRPr="000A17AA"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25.3%</w:t>
            </w:r>
          </w:p>
        </w:tc>
      </w:tr>
      <w:tr w:rsidR="007E762D" w:rsidRPr="007E762D" w:rsidTr="000A1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1" w:type="dxa"/>
            <w:tcBorders>
              <w:bottom w:val="nil"/>
            </w:tcBorders>
            <w:noWrap/>
            <w:hideMark/>
          </w:tcPr>
          <w:p w:rsidR="007E762D" w:rsidRPr="000A17AA" w:rsidRDefault="007E762D" w:rsidP="00EB0173">
            <w:pPr>
              <w:jc w:val="both"/>
              <w:rPr>
                <w:rFonts w:eastAsia="Times New Roman" w:cs="Times New Roman"/>
                <w:color w:val="000000"/>
              </w:rPr>
            </w:pPr>
            <w:r w:rsidRPr="000A17AA">
              <w:rPr>
                <w:rFonts w:eastAsia="Times New Roman" w:cs="Times New Roman"/>
                <w:color w:val="000000"/>
              </w:rPr>
              <w:t>REGION</w:t>
            </w:r>
          </w:p>
        </w:tc>
        <w:tc>
          <w:tcPr>
            <w:tcW w:w="2120" w:type="dxa"/>
            <w:tcBorders>
              <w:bottom w:val="nil"/>
            </w:tcBorders>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81.7%</w:t>
            </w:r>
          </w:p>
        </w:tc>
        <w:tc>
          <w:tcPr>
            <w:tcW w:w="1720" w:type="dxa"/>
            <w:tcBorders>
              <w:bottom w:val="nil"/>
            </w:tcBorders>
            <w:noWrap/>
            <w:hideMark/>
          </w:tcPr>
          <w:p w:rsidR="007E762D" w:rsidRPr="000A17AA"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0A17AA">
              <w:rPr>
                <w:rFonts w:eastAsia="Times New Roman" w:cs="Times New Roman"/>
                <w:color w:val="000000"/>
              </w:rPr>
              <w:t>29.5%</w:t>
            </w:r>
          </w:p>
        </w:tc>
      </w:tr>
      <w:tr w:rsidR="000A17AA" w:rsidRPr="007E762D" w:rsidTr="000A17AA">
        <w:trPr>
          <w:trHeight w:val="300"/>
        </w:trPr>
        <w:tc>
          <w:tcPr>
            <w:cnfStyle w:val="001000000000" w:firstRow="0" w:lastRow="0" w:firstColumn="1" w:lastColumn="0" w:oddVBand="0" w:evenVBand="0" w:oddHBand="0" w:evenHBand="0" w:firstRowFirstColumn="0" w:firstRowLastColumn="0" w:lastRowFirstColumn="0" w:lastRowLastColumn="0"/>
            <w:tcW w:w="5321" w:type="dxa"/>
            <w:gridSpan w:val="3"/>
            <w:tcBorders>
              <w:top w:val="nil"/>
              <w:bottom w:val="nil"/>
            </w:tcBorders>
            <w:noWrap/>
          </w:tcPr>
          <w:p w:rsidR="000A17AA" w:rsidRDefault="000A17AA" w:rsidP="00EB0173">
            <w:pPr>
              <w:jc w:val="both"/>
              <w:rPr>
                <w:b w:val="0"/>
                <w:sz w:val="18"/>
                <w:szCs w:val="18"/>
              </w:rPr>
            </w:pPr>
            <w:r w:rsidRPr="000A17AA">
              <w:rPr>
                <w:b w:val="0"/>
                <w:sz w:val="18"/>
                <w:szCs w:val="18"/>
              </w:rPr>
              <w:t xml:space="preserve">Source:  ESRI Business Analyst Online (BAO) “Community Profile” report </w:t>
            </w:r>
          </w:p>
          <w:p w:rsidR="00EB0173" w:rsidRDefault="000A17AA" w:rsidP="00EB0173">
            <w:pPr>
              <w:jc w:val="both"/>
              <w:rPr>
                <w:b w:val="0"/>
                <w:sz w:val="18"/>
                <w:szCs w:val="18"/>
              </w:rPr>
            </w:pPr>
            <w:r w:rsidRPr="000A17AA">
              <w:rPr>
                <w:b w:val="0"/>
                <w:sz w:val="18"/>
                <w:szCs w:val="18"/>
              </w:rPr>
              <w:t>Note:  Bold text indicates above region’s percentage.</w:t>
            </w:r>
          </w:p>
          <w:p w:rsidR="000A17AA" w:rsidRPr="000A17AA" w:rsidRDefault="000A17AA" w:rsidP="00EB0173">
            <w:pPr>
              <w:jc w:val="both"/>
              <w:rPr>
                <w:b w:val="0"/>
                <w:sz w:val="18"/>
                <w:szCs w:val="18"/>
              </w:rPr>
            </w:pPr>
            <w:r w:rsidRPr="000A17AA">
              <w:rPr>
                <w:b w:val="0"/>
                <w:sz w:val="18"/>
                <w:szCs w:val="18"/>
              </w:rPr>
              <w:br/>
            </w:r>
          </w:p>
          <w:p w:rsidR="000A17AA" w:rsidRPr="000A17AA" w:rsidRDefault="000A17AA" w:rsidP="00EB0173">
            <w:pPr>
              <w:jc w:val="both"/>
              <w:rPr>
                <w:rFonts w:eastAsia="Times New Roman" w:cs="Times New Roman"/>
                <w:b w:val="0"/>
                <w:color w:val="000000"/>
                <w:sz w:val="18"/>
                <w:szCs w:val="18"/>
              </w:rPr>
            </w:pPr>
          </w:p>
        </w:tc>
      </w:tr>
    </w:tbl>
    <w:p w:rsidR="007E762D" w:rsidRDefault="007E762D" w:rsidP="00F018BC">
      <w:pPr>
        <w:pStyle w:val="Heading2"/>
      </w:pPr>
      <w:bookmarkStart w:id="15" w:name="_Toc395275934"/>
      <w:r w:rsidRPr="00340591">
        <w:t>By Grade and Age Group (2012)</w:t>
      </w:r>
      <w:bookmarkEnd w:id="15"/>
    </w:p>
    <w:p w:rsidR="00340591" w:rsidRPr="00340591" w:rsidRDefault="00340591" w:rsidP="00EB0173">
      <w:pPr>
        <w:pStyle w:val="Caption"/>
        <w:keepNext/>
        <w:jc w:val="both"/>
        <w:rPr>
          <w:color w:val="auto"/>
        </w:rPr>
      </w:pPr>
      <w:r w:rsidRPr="00340591">
        <w:rPr>
          <w:color w:val="auto"/>
        </w:rPr>
        <w:t xml:space="preserve">Table </w:t>
      </w:r>
      <w:r w:rsidRPr="00340591">
        <w:rPr>
          <w:color w:val="auto"/>
        </w:rPr>
        <w:fldChar w:fldCharType="begin"/>
      </w:r>
      <w:r w:rsidRPr="00340591">
        <w:rPr>
          <w:color w:val="auto"/>
        </w:rPr>
        <w:instrText xml:space="preserve"> SEQ Table \* ARABIC </w:instrText>
      </w:r>
      <w:r w:rsidRPr="00340591">
        <w:rPr>
          <w:color w:val="auto"/>
        </w:rPr>
        <w:fldChar w:fldCharType="separate"/>
      </w:r>
      <w:r w:rsidR="00B91CD4">
        <w:rPr>
          <w:noProof/>
          <w:color w:val="auto"/>
        </w:rPr>
        <w:t>7</w:t>
      </w:r>
      <w:r w:rsidRPr="00340591">
        <w:rPr>
          <w:color w:val="auto"/>
        </w:rPr>
        <w:fldChar w:fldCharType="end"/>
      </w:r>
    </w:p>
    <w:tbl>
      <w:tblPr>
        <w:tblStyle w:val="LightShading-Accent5"/>
        <w:tblW w:w="7329" w:type="dxa"/>
        <w:tblLook w:val="04A0" w:firstRow="1" w:lastRow="0" w:firstColumn="1" w:lastColumn="0" w:noHBand="0" w:noVBand="1"/>
      </w:tblPr>
      <w:tblGrid>
        <w:gridCol w:w="2540"/>
        <w:gridCol w:w="803"/>
        <w:gridCol w:w="803"/>
        <w:gridCol w:w="803"/>
        <w:gridCol w:w="803"/>
        <w:gridCol w:w="803"/>
        <w:gridCol w:w="774"/>
      </w:tblGrid>
      <w:tr w:rsidR="00340591" w:rsidRPr="00340591" w:rsidTr="00340591">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40" w:type="dxa"/>
            <w:noWrap/>
            <w:hideMark/>
          </w:tcPr>
          <w:p w:rsidR="007E762D" w:rsidRPr="00340591" w:rsidRDefault="007E762D" w:rsidP="00EB0173">
            <w:pPr>
              <w:jc w:val="both"/>
              <w:rPr>
                <w:rFonts w:eastAsia="Times New Roman" w:cs="Times New Roman"/>
                <w:bCs w:val="0"/>
              </w:rPr>
            </w:pPr>
            <w:r w:rsidRPr="00340591">
              <w:rPr>
                <w:rFonts w:eastAsia="Times New Roman" w:cs="Times New Roman"/>
                <w:bCs w:val="0"/>
              </w:rPr>
              <w:t> </w:t>
            </w:r>
          </w:p>
        </w:tc>
        <w:tc>
          <w:tcPr>
            <w:tcW w:w="803" w:type="dxa"/>
            <w:hideMark/>
          </w:tcPr>
          <w:p w:rsidR="007E762D" w:rsidRPr="00340591"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340591">
              <w:rPr>
                <w:rFonts w:eastAsia="Times New Roman" w:cs="Times New Roman"/>
                <w:bCs w:val="0"/>
              </w:rPr>
              <w:t xml:space="preserve">18-24 </w:t>
            </w:r>
            <w:r w:rsidRPr="00340591">
              <w:rPr>
                <w:rFonts w:eastAsia="Times New Roman" w:cs="Times New Roman"/>
                <w:bCs w:val="0"/>
              </w:rPr>
              <w:br/>
              <w:t>Years</w:t>
            </w:r>
          </w:p>
        </w:tc>
        <w:tc>
          <w:tcPr>
            <w:tcW w:w="803" w:type="dxa"/>
            <w:hideMark/>
          </w:tcPr>
          <w:p w:rsidR="007E762D" w:rsidRPr="00340591"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340591">
              <w:rPr>
                <w:rFonts w:eastAsia="Times New Roman" w:cs="Times New Roman"/>
                <w:bCs w:val="0"/>
              </w:rPr>
              <w:t xml:space="preserve">25-34 </w:t>
            </w:r>
            <w:r w:rsidRPr="00340591">
              <w:rPr>
                <w:rFonts w:eastAsia="Times New Roman" w:cs="Times New Roman"/>
                <w:bCs w:val="0"/>
              </w:rPr>
              <w:br/>
              <w:t>Years</w:t>
            </w:r>
          </w:p>
        </w:tc>
        <w:tc>
          <w:tcPr>
            <w:tcW w:w="803" w:type="dxa"/>
            <w:hideMark/>
          </w:tcPr>
          <w:p w:rsidR="007E762D" w:rsidRPr="00340591"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340591">
              <w:rPr>
                <w:rFonts w:eastAsia="Times New Roman" w:cs="Times New Roman"/>
                <w:bCs w:val="0"/>
              </w:rPr>
              <w:t xml:space="preserve">35-44 </w:t>
            </w:r>
            <w:r w:rsidRPr="00340591">
              <w:rPr>
                <w:rFonts w:eastAsia="Times New Roman" w:cs="Times New Roman"/>
                <w:bCs w:val="0"/>
              </w:rPr>
              <w:br/>
              <w:t>Years</w:t>
            </w:r>
          </w:p>
        </w:tc>
        <w:tc>
          <w:tcPr>
            <w:tcW w:w="803" w:type="dxa"/>
            <w:hideMark/>
          </w:tcPr>
          <w:p w:rsidR="007E762D" w:rsidRPr="00340591"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340591">
              <w:rPr>
                <w:rFonts w:eastAsia="Times New Roman" w:cs="Times New Roman"/>
                <w:bCs w:val="0"/>
              </w:rPr>
              <w:t xml:space="preserve">45-64 </w:t>
            </w:r>
            <w:r w:rsidRPr="00340591">
              <w:rPr>
                <w:rFonts w:eastAsia="Times New Roman" w:cs="Times New Roman"/>
                <w:bCs w:val="0"/>
              </w:rPr>
              <w:br/>
              <w:t>Years</w:t>
            </w:r>
          </w:p>
        </w:tc>
        <w:tc>
          <w:tcPr>
            <w:tcW w:w="803" w:type="dxa"/>
            <w:hideMark/>
          </w:tcPr>
          <w:p w:rsidR="007E762D" w:rsidRPr="00340591"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340591">
              <w:rPr>
                <w:rFonts w:eastAsia="Times New Roman" w:cs="Times New Roman"/>
                <w:bCs w:val="0"/>
              </w:rPr>
              <w:t xml:space="preserve">65+ </w:t>
            </w:r>
            <w:r w:rsidRPr="00340591">
              <w:rPr>
                <w:rFonts w:eastAsia="Times New Roman" w:cs="Times New Roman"/>
                <w:bCs w:val="0"/>
              </w:rPr>
              <w:br/>
              <w:t>Years</w:t>
            </w:r>
          </w:p>
        </w:tc>
        <w:tc>
          <w:tcPr>
            <w:tcW w:w="774" w:type="dxa"/>
            <w:hideMark/>
          </w:tcPr>
          <w:p w:rsidR="007E762D" w:rsidRPr="00340591"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340591">
              <w:rPr>
                <w:rFonts w:eastAsia="Times New Roman" w:cs="Times New Roman"/>
                <w:bCs w:val="0"/>
              </w:rPr>
              <w:t xml:space="preserve">All </w:t>
            </w:r>
            <w:r w:rsidRPr="00340591">
              <w:rPr>
                <w:rFonts w:eastAsia="Times New Roman" w:cs="Times New Roman"/>
                <w:bCs w:val="0"/>
              </w:rPr>
              <w:br/>
              <w:t>Ages</w:t>
            </w:r>
          </w:p>
        </w:tc>
      </w:tr>
      <w:tr w:rsidR="007E762D" w:rsidRPr="00340591" w:rsidTr="003405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rsidR="007E762D" w:rsidRPr="00340591" w:rsidRDefault="007E762D" w:rsidP="00EB0173">
            <w:pPr>
              <w:jc w:val="both"/>
              <w:rPr>
                <w:rFonts w:eastAsia="Times New Roman" w:cs="Times New Roman"/>
                <w:b w:val="0"/>
                <w:bCs w:val="0"/>
                <w:color w:val="000000"/>
              </w:rPr>
            </w:pPr>
            <w:r w:rsidRPr="00340591">
              <w:rPr>
                <w:rFonts w:eastAsia="Times New Roman" w:cs="Times New Roman"/>
                <w:b w:val="0"/>
                <w:bCs w:val="0"/>
                <w:color w:val="000000"/>
              </w:rPr>
              <w:t>Elementary</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1.9%</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4.0%</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3.5%</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5.1%</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14.6%</w:t>
            </w:r>
          </w:p>
        </w:tc>
        <w:tc>
          <w:tcPr>
            <w:tcW w:w="774"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5.5%</w:t>
            </w:r>
          </w:p>
        </w:tc>
      </w:tr>
      <w:tr w:rsidR="007E762D" w:rsidRPr="00340591" w:rsidTr="00340591">
        <w:trPr>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rsidR="007E762D" w:rsidRPr="00340591" w:rsidRDefault="007E762D" w:rsidP="00EB0173">
            <w:pPr>
              <w:jc w:val="both"/>
              <w:rPr>
                <w:rFonts w:eastAsia="Times New Roman" w:cs="Times New Roman"/>
                <w:b w:val="0"/>
                <w:bCs w:val="0"/>
                <w:color w:val="000000"/>
              </w:rPr>
            </w:pPr>
            <w:r w:rsidRPr="00340591">
              <w:rPr>
                <w:rFonts w:eastAsia="Times New Roman" w:cs="Times New Roman"/>
                <w:b w:val="0"/>
                <w:bCs w:val="0"/>
                <w:color w:val="000000"/>
              </w:rPr>
              <w:t>Some High School</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12.1%</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11.3%</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9.1%</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11.9%</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14.2%</w:t>
            </w:r>
          </w:p>
        </w:tc>
        <w:tc>
          <w:tcPr>
            <w:tcW w:w="774"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11.7%</w:t>
            </w:r>
          </w:p>
        </w:tc>
      </w:tr>
      <w:tr w:rsidR="007E762D" w:rsidRPr="00340591" w:rsidTr="003405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rsidR="007E762D" w:rsidRPr="00340591" w:rsidRDefault="007E762D" w:rsidP="00EB0173">
            <w:pPr>
              <w:jc w:val="both"/>
              <w:rPr>
                <w:rFonts w:eastAsia="Times New Roman" w:cs="Times New Roman"/>
                <w:b w:val="0"/>
                <w:bCs w:val="0"/>
                <w:color w:val="000000"/>
              </w:rPr>
            </w:pPr>
            <w:r w:rsidRPr="00340591">
              <w:rPr>
                <w:rFonts w:eastAsia="Times New Roman" w:cs="Times New Roman"/>
                <w:b w:val="0"/>
                <w:bCs w:val="0"/>
                <w:color w:val="000000"/>
              </w:rPr>
              <w:t>High School/GED</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30.1%</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27.7%</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31.5%</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33.5%</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34.0%</w:t>
            </w:r>
          </w:p>
        </w:tc>
        <w:tc>
          <w:tcPr>
            <w:tcW w:w="774"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31.6%</w:t>
            </w:r>
          </w:p>
        </w:tc>
      </w:tr>
      <w:tr w:rsidR="007E762D" w:rsidRPr="00340591" w:rsidTr="00340591">
        <w:trPr>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rsidR="007E762D" w:rsidRPr="00340591" w:rsidRDefault="007E762D" w:rsidP="00EB0173">
            <w:pPr>
              <w:jc w:val="both"/>
              <w:rPr>
                <w:rFonts w:eastAsia="Times New Roman" w:cs="Times New Roman"/>
                <w:b w:val="0"/>
                <w:bCs w:val="0"/>
                <w:color w:val="000000"/>
              </w:rPr>
            </w:pPr>
            <w:r w:rsidRPr="00340591">
              <w:rPr>
                <w:rFonts w:eastAsia="Times New Roman" w:cs="Times New Roman"/>
                <w:b w:val="0"/>
                <w:bCs w:val="0"/>
                <w:color w:val="000000"/>
              </w:rPr>
              <w:t>Some College</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45.9%</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22.7%</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23.2%</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20.8%</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15.2%</w:t>
            </w:r>
          </w:p>
        </w:tc>
        <w:tc>
          <w:tcPr>
            <w:tcW w:w="774"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25.0%</w:t>
            </w:r>
          </w:p>
        </w:tc>
      </w:tr>
      <w:tr w:rsidR="007E762D" w:rsidRPr="00340591" w:rsidTr="003405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rsidR="007E762D" w:rsidRPr="00340591" w:rsidRDefault="007E762D" w:rsidP="00EB0173">
            <w:pPr>
              <w:jc w:val="both"/>
              <w:rPr>
                <w:rFonts w:eastAsia="Times New Roman" w:cs="Times New Roman"/>
                <w:b w:val="0"/>
                <w:bCs w:val="0"/>
                <w:color w:val="000000"/>
              </w:rPr>
            </w:pPr>
            <w:r w:rsidRPr="00340591">
              <w:rPr>
                <w:rFonts w:eastAsia="Times New Roman" w:cs="Times New Roman"/>
                <w:b w:val="0"/>
                <w:bCs w:val="0"/>
                <w:color w:val="000000"/>
              </w:rPr>
              <w:t>College Grad (2-Year)</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2.8%</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6.7%</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7.5%</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6.9%</w:t>
            </w:r>
          </w:p>
        </w:tc>
        <w:tc>
          <w:tcPr>
            <w:tcW w:w="803"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3.1%</w:t>
            </w:r>
          </w:p>
        </w:tc>
        <w:tc>
          <w:tcPr>
            <w:tcW w:w="774"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5.7%</w:t>
            </w:r>
          </w:p>
        </w:tc>
      </w:tr>
      <w:tr w:rsidR="007E762D" w:rsidRPr="00340591" w:rsidTr="00340591">
        <w:trPr>
          <w:trHeight w:val="300"/>
        </w:trPr>
        <w:tc>
          <w:tcPr>
            <w:cnfStyle w:val="001000000000" w:firstRow="0" w:lastRow="0" w:firstColumn="1" w:lastColumn="0" w:oddVBand="0" w:evenVBand="0" w:oddHBand="0" w:evenHBand="0" w:firstRowFirstColumn="0" w:firstRowLastColumn="0" w:lastRowFirstColumn="0" w:lastRowLastColumn="0"/>
            <w:tcW w:w="2540" w:type="dxa"/>
            <w:noWrap/>
            <w:hideMark/>
          </w:tcPr>
          <w:p w:rsidR="007E762D" w:rsidRPr="00340591" w:rsidRDefault="007E762D" w:rsidP="00EB0173">
            <w:pPr>
              <w:jc w:val="both"/>
              <w:rPr>
                <w:rFonts w:eastAsia="Times New Roman" w:cs="Times New Roman"/>
                <w:b w:val="0"/>
                <w:bCs w:val="0"/>
                <w:color w:val="000000"/>
              </w:rPr>
            </w:pPr>
            <w:r w:rsidRPr="00340591">
              <w:rPr>
                <w:rFonts w:eastAsia="Times New Roman" w:cs="Times New Roman"/>
                <w:b w:val="0"/>
                <w:bCs w:val="0"/>
                <w:color w:val="000000"/>
              </w:rPr>
              <w:t>College Grad (4-Year)</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6.7%</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18.2%</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15.6%</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12.3%</w:t>
            </w:r>
          </w:p>
        </w:tc>
        <w:tc>
          <w:tcPr>
            <w:tcW w:w="803"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9.6%</w:t>
            </w:r>
          </w:p>
        </w:tc>
        <w:tc>
          <w:tcPr>
            <w:tcW w:w="774"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12.6%</w:t>
            </w:r>
          </w:p>
        </w:tc>
      </w:tr>
      <w:tr w:rsidR="007E762D" w:rsidRPr="00340591" w:rsidTr="0034059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0" w:type="dxa"/>
            <w:tcBorders>
              <w:bottom w:val="single" w:sz="8" w:space="0" w:color="4BACC6" w:themeColor="accent5"/>
            </w:tcBorders>
            <w:noWrap/>
            <w:hideMark/>
          </w:tcPr>
          <w:p w:rsidR="007E762D" w:rsidRPr="00340591" w:rsidRDefault="007E762D" w:rsidP="00EB0173">
            <w:pPr>
              <w:jc w:val="both"/>
              <w:rPr>
                <w:rFonts w:eastAsia="Times New Roman" w:cs="Times New Roman"/>
                <w:b w:val="0"/>
                <w:bCs w:val="0"/>
                <w:color w:val="000000"/>
              </w:rPr>
            </w:pPr>
            <w:r w:rsidRPr="00340591">
              <w:rPr>
                <w:rFonts w:eastAsia="Times New Roman" w:cs="Times New Roman"/>
                <w:b w:val="0"/>
                <w:bCs w:val="0"/>
                <w:color w:val="000000"/>
              </w:rPr>
              <w:t>Post Graduate Studies</w:t>
            </w:r>
          </w:p>
        </w:tc>
        <w:tc>
          <w:tcPr>
            <w:tcW w:w="803" w:type="dxa"/>
            <w:tcBorders>
              <w:bottom w:val="single" w:sz="8" w:space="0" w:color="4BACC6" w:themeColor="accent5"/>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0.1%</w:t>
            </w:r>
          </w:p>
        </w:tc>
        <w:tc>
          <w:tcPr>
            <w:tcW w:w="803" w:type="dxa"/>
            <w:tcBorders>
              <w:bottom w:val="single" w:sz="8" w:space="0" w:color="4BACC6" w:themeColor="accent5"/>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9.2%</w:t>
            </w:r>
          </w:p>
        </w:tc>
        <w:tc>
          <w:tcPr>
            <w:tcW w:w="803" w:type="dxa"/>
            <w:tcBorders>
              <w:bottom w:val="single" w:sz="8" w:space="0" w:color="4BACC6" w:themeColor="accent5"/>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9.6%</w:t>
            </w:r>
          </w:p>
        </w:tc>
        <w:tc>
          <w:tcPr>
            <w:tcW w:w="803" w:type="dxa"/>
            <w:tcBorders>
              <w:bottom w:val="single" w:sz="8" w:space="0" w:color="4BACC6" w:themeColor="accent5"/>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9.7%</w:t>
            </w:r>
          </w:p>
        </w:tc>
        <w:tc>
          <w:tcPr>
            <w:tcW w:w="803" w:type="dxa"/>
            <w:tcBorders>
              <w:bottom w:val="single" w:sz="8" w:space="0" w:color="4BACC6" w:themeColor="accent5"/>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9.2%</w:t>
            </w:r>
          </w:p>
        </w:tc>
        <w:tc>
          <w:tcPr>
            <w:tcW w:w="774" w:type="dxa"/>
            <w:tcBorders>
              <w:bottom w:val="single" w:sz="8" w:space="0" w:color="4BACC6" w:themeColor="accent5"/>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8.0%</w:t>
            </w:r>
          </w:p>
        </w:tc>
      </w:tr>
      <w:tr w:rsidR="00340591" w:rsidRPr="00340591" w:rsidTr="00340591">
        <w:trPr>
          <w:trHeight w:val="315"/>
        </w:trPr>
        <w:tc>
          <w:tcPr>
            <w:cnfStyle w:val="001000000000" w:firstRow="0" w:lastRow="0" w:firstColumn="1" w:lastColumn="0" w:oddVBand="0" w:evenVBand="0" w:oddHBand="0" w:evenHBand="0" w:firstRowFirstColumn="0" w:firstRowLastColumn="0" w:lastRowFirstColumn="0" w:lastRowLastColumn="0"/>
            <w:tcW w:w="7329" w:type="dxa"/>
            <w:gridSpan w:val="7"/>
            <w:tcBorders>
              <w:top w:val="single" w:sz="8" w:space="0" w:color="4BACC6" w:themeColor="accent5"/>
              <w:bottom w:val="nil"/>
            </w:tcBorders>
            <w:noWrap/>
          </w:tcPr>
          <w:p w:rsidR="00340591" w:rsidRPr="00340591" w:rsidRDefault="00340591" w:rsidP="00EB0173">
            <w:pPr>
              <w:jc w:val="both"/>
              <w:rPr>
                <w:b w:val="0"/>
                <w:sz w:val="18"/>
                <w:szCs w:val="18"/>
              </w:rPr>
            </w:pPr>
            <w:r w:rsidRPr="00340591">
              <w:rPr>
                <w:b w:val="0"/>
                <w:sz w:val="18"/>
                <w:szCs w:val="18"/>
              </w:rPr>
              <w:t>Source:  U.S. Census Bureau, 2012 American Community Survey (ACS) 5-Year Estimate</w:t>
            </w:r>
          </w:p>
          <w:p w:rsidR="00340591" w:rsidRPr="00340591" w:rsidRDefault="00340591" w:rsidP="00EB0173">
            <w:pPr>
              <w:jc w:val="both"/>
              <w:rPr>
                <w:rFonts w:eastAsia="Times New Roman" w:cs="Times New Roman"/>
                <w:color w:val="000000"/>
              </w:rPr>
            </w:pPr>
          </w:p>
        </w:tc>
      </w:tr>
    </w:tbl>
    <w:p w:rsidR="00176532" w:rsidRPr="00176532" w:rsidRDefault="007E762D" w:rsidP="00F018BC">
      <w:pPr>
        <w:pStyle w:val="Heading2"/>
      </w:pPr>
      <w:bookmarkStart w:id="16" w:name="_Toc395275935"/>
      <w:r w:rsidRPr="00340591">
        <w:t>High School Graduates (2013)</w:t>
      </w:r>
      <w:bookmarkEnd w:id="16"/>
    </w:p>
    <w:p w:rsidR="00176532" w:rsidRPr="00176532" w:rsidRDefault="00176532" w:rsidP="00EB0173">
      <w:pPr>
        <w:pStyle w:val="Caption"/>
        <w:keepNext/>
        <w:jc w:val="both"/>
        <w:rPr>
          <w:color w:val="auto"/>
        </w:rPr>
      </w:pPr>
      <w:r w:rsidRPr="00176532">
        <w:rPr>
          <w:color w:val="auto"/>
        </w:rPr>
        <w:t xml:space="preserve">Table </w:t>
      </w:r>
      <w:r w:rsidRPr="00176532">
        <w:rPr>
          <w:color w:val="auto"/>
        </w:rPr>
        <w:fldChar w:fldCharType="begin"/>
      </w:r>
      <w:r w:rsidRPr="00176532">
        <w:rPr>
          <w:color w:val="auto"/>
        </w:rPr>
        <w:instrText xml:space="preserve"> SEQ Table \* ARABIC </w:instrText>
      </w:r>
      <w:r w:rsidRPr="00176532">
        <w:rPr>
          <w:color w:val="auto"/>
        </w:rPr>
        <w:fldChar w:fldCharType="separate"/>
      </w:r>
      <w:r w:rsidR="00B91CD4">
        <w:rPr>
          <w:noProof/>
          <w:color w:val="auto"/>
        </w:rPr>
        <w:t>8</w:t>
      </w:r>
      <w:r w:rsidRPr="00176532">
        <w:rPr>
          <w:color w:val="auto"/>
        </w:rPr>
        <w:fldChar w:fldCharType="end"/>
      </w:r>
    </w:p>
    <w:tbl>
      <w:tblPr>
        <w:tblStyle w:val="LightShading-Accent5"/>
        <w:tblW w:w="4660" w:type="dxa"/>
        <w:tblLook w:val="04A0" w:firstRow="1" w:lastRow="0" w:firstColumn="1" w:lastColumn="0" w:noHBand="0" w:noVBand="1"/>
      </w:tblPr>
      <w:tblGrid>
        <w:gridCol w:w="1360"/>
        <w:gridCol w:w="1760"/>
        <w:gridCol w:w="1540"/>
      </w:tblGrid>
      <w:tr w:rsidR="007E762D" w:rsidRPr="00340591" w:rsidTr="00176532">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rPr>
                <w:rFonts w:eastAsia="Times New Roman" w:cs="Times New Roman"/>
                <w:bCs w:val="0"/>
              </w:rPr>
            </w:pPr>
          </w:p>
        </w:tc>
        <w:tc>
          <w:tcPr>
            <w:tcW w:w="1760" w:type="dxa"/>
            <w:hideMark/>
          </w:tcPr>
          <w:p w:rsidR="007E762D" w:rsidRPr="00340591" w:rsidRDefault="007E762D" w:rsidP="00EB0173">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340591">
              <w:rPr>
                <w:rFonts w:eastAsia="Times New Roman" w:cs="Times New Roman"/>
                <w:bCs w:val="0"/>
              </w:rPr>
              <w:t xml:space="preserve">HS Graduates </w:t>
            </w:r>
            <w:r w:rsidRPr="00340591">
              <w:rPr>
                <w:rFonts w:eastAsia="Times New Roman" w:cs="Times New Roman"/>
                <w:bCs w:val="0"/>
              </w:rPr>
              <w:br/>
              <w:t>(2013)*</w:t>
            </w:r>
          </w:p>
        </w:tc>
        <w:tc>
          <w:tcPr>
            <w:tcW w:w="1540" w:type="dxa"/>
            <w:hideMark/>
          </w:tcPr>
          <w:p w:rsidR="007E762D" w:rsidRPr="00340591" w:rsidRDefault="007E762D" w:rsidP="00EB0173">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340591">
              <w:rPr>
                <w:rFonts w:eastAsia="Times New Roman" w:cs="Times New Roman"/>
                <w:bCs w:val="0"/>
              </w:rPr>
              <w:t xml:space="preserve">HS Enrollment </w:t>
            </w:r>
            <w:r w:rsidRPr="00340591">
              <w:rPr>
                <w:rFonts w:eastAsia="Times New Roman" w:cs="Times New Roman"/>
                <w:bCs w:val="0"/>
              </w:rPr>
              <w:br/>
              <w:t>(2013)*</w:t>
            </w:r>
          </w:p>
        </w:tc>
      </w:tr>
      <w:tr w:rsidR="007E762D" w:rsidRPr="00340591" w:rsidTr="0034059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Barrow</w:t>
            </w:r>
          </w:p>
        </w:tc>
        <w:tc>
          <w:tcPr>
            <w:tcW w:w="176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686</w:t>
            </w:r>
          </w:p>
        </w:tc>
        <w:tc>
          <w:tcPr>
            <w:tcW w:w="154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3,628</w:t>
            </w:r>
          </w:p>
        </w:tc>
      </w:tr>
      <w:tr w:rsidR="007E762D" w:rsidRPr="00340591" w:rsidTr="00340591">
        <w:trPr>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Clarke</w:t>
            </w:r>
          </w:p>
        </w:tc>
        <w:tc>
          <w:tcPr>
            <w:tcW w:w="17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534</w:t>
            </w:r>
          </w:p>
        </w:tc>
        <w:tc>
          <w:tcPr>
            <w:tcW w:w="154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2,952</w:t>
            </w:r>
          </w:p>
        </w:tc>
      </w:tr>
      <w:tr w:rsidR="007E762D" w:rsidRPr="00340591" w:rsidTr="0034059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Elbert</w:t>
            </w:r>
          </w:p>
        </w:tc>
        <w:tc>
          <w:tcPr>
            <w:tcW w:w="176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155</w:t>
            </w:r>
          </w:p>
        </w:tc>
        <w:tc>
          <w:tcPr>
            <w:tcW w:w="154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842</w:t>
            </w:r>
          </w:p>
        </w:tc>
      </w:tr>
      <w:tr w:rsidR="007E762D" w:rsidRPr="00340591" w:rsidTr="00340591">
        <w:trPr>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Greene</w:t>
            </w:r>
          </w:p>
        </w:tc>
        <w:tc>
          <w:tcPr>
            <w:tcW w:w="17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78</w:t>
            </w:r>
          </w:p>
        </w:tc>
        <w:tc>
          <w:tcPr>
            <w:tcW w:w="154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530</w:t>
            </w:r>
          </w:p>
        </w:tc>
      </w:tr>
      <w:tr w:rsidR="007E762D" w:rsidRPr="00340591" w:rsidTr="0034059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Jackson</w:t>
            </w:r>
          </w:p>
        </w:tc>
        <w:tc>
          <w:tcPr>
            <w:tcW w:w="176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652</w:t>
            </w:r>
          </w:p>
        </w:tc>
        <w:tc>
          <w:tcPr>
            <w:tcW w:w="154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3,115</w:t>
            </w:r>
          </w:p>
        </w:tc>
      </w:tr>
      <w:tr w:rsidR="007E762D" w:rsidRPr="00340591" w:rsidTr="00340591">
        <w:trPr>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Jasper</w:t>
            </w:r>
          </w:p>
        </w:tc>
        <w:tc>
          <w:tcPr>
            <w:tcW w:w="17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103</w:t>
            </w:r>
          </w:p>
        </w:tc>
        <w:tc>
          <w:tcPr>
            <w:tcW w:w="154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566</w:t>
            </w:r>
          </w:p>
        </w:tc>
      </w:tr>
      <w:tr w:rsidR="007E762D" w:rsidRPr="00340591" w:rsidTr="0034059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Madison</w:t>
            </w:r>
          </w:p>
        </w:tc>
        <w:tc>
          <w:tcPr>
            <w:tcW w:w="176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261</w:t>
            </w:r>
          </w:p>
        </w:tc>
        <w:tc>
          <w:tcPr>
            <w:tcW w:w="154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1,352</w:t>
            </w:r>
          </w:p>
        </w:tc>
      </w:tr>
      <w:tr w:rsidR="007E762D" w:rsidRPr="00340591" w:rsidTr="00340591">
        <w:trPr>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Morgan</w:t>
            </w:r>
          </w:p>
        </w:tc>
        <w:tc>
          <w:tcPr>
            <w:tcW w:w="17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202</w:t>
            </w:r>
          </w:p>
        </w:tc>
        <w:tc>
          <w:tcPr>
            <w:tcW w:w="154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961</w:t>
            </w:r>
          </w:p>
        </w:tc>
      </w:tr>
      <w:tr w:rsidR="007E762D" w:rsidRPr="00340591" w:rsidTr="0034059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Newton</w:t>
            </w:r>
          </w:p>
        </w:tc>
        <w:tc>
          <w:tcPr>
            <w:tcW w:w="176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964</w:t>
            </w:r>
          </w:p>
        </w:tc>
        <w:tc>
          <w:tcPr>
            <w:tcW w:w="154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5,081</w:t>
            </w:r>
          </w:p>
        </w:tc>
      </w:tr>
      <w:tr w:rsidR="007E762D" w:rsidRPr="00340591" w:rsidTr="00340591">
        <w:trPr>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Oconee</w:t>
            </w:r>
          </w:p>
        </w:tc>
        <w:tc>
          <w:tcPr>
            <w:tcW w:w="17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494</w:t>
            </w:r>
          </w:p>
        </w:tc>
        <w:tc>
          <w:tcPr>
            <w:tcW w:w="154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2,044</w:t>
            </w:r>
          </w:p>
        </w:tc>
      </w:tr>
      <w:tr w:rsidR="007E762D" w:rsidRPr="00340591" w:rsidTr="0034059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lastRenderedPageBreak/>
              <w:t>Oglethorpe</w:t>
            </w:r>
          </w:p>
        </w:tc>
        <w:tc>
          <w:tcPr>
            <w:tcW w:w="176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134</w:t>
            </w:r>
          </w:p>
        </w:tc>
        <w:tc>
          <w:tcPr>
            <w:tcW w:w="1540" w:type="dxa"/>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678</w:t>
            </w:r>
          </w:p>
        </w:tc>
      </w:tr>
      <w:tr w:rsidR="007E762D" w:rsidRPr="00340591" w:rsidTr="00340591">
        <w:trPr>
          <w:trHeight w:val="330"/>
        </w:trPr>
        <w:tc>
          <w:tcPr>
            <w:cnfStyle w:val="001000000000" w:firstRow="0" w:lastRow="0" w:firstColumn="1" w:lastColumn="0" w:oddVBand="0" w:evenVBand="0" w:oddHBand="0" w:evenHBand="0" w:firstRowFirstColumn="0" w:firstRowLastColumn="0" w:lastRowFirstColumn="0" w:lastRowLastColumn="0"/>
            <w:tcW w:w="1360" w:type="dxa"/>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Walton</w:t>
            </w:r>
          </w:p>
        </w:tc>
        <w:tc>
          <w:tcPr>
            <w:tcW w:w="176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861</w:t>
            </w:r>
          </w:p>
        </w:tc>
        <w:tc>
          <w:tcPr>
            <w:tcW w:w="1540" w:type="dxa"/>
            <w:noWrap/>
            <w:hideMark/>
          </w:tcPr>
          <w:p w:rsidR="007E762D" w:rsidRPr="00340591"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4,163</w:t>
            </w:r>
          </w:p>
        </w:tc>
      </w:tr>
      <w:tr w:rsidR="007E762D" w:rsidRPr="00340591" w:rsidTr="0034059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60" w:type="dxa"/>
            <w:tcBorders>
              <w:bottom w:val="single" w:sz="8" w:space="0" w:color="4BACC6" w:themeColor="accent5"/>
            </w:tcBorders>
            <w:noWrap/>
            <w:hideMark/>
          </w:tcPr>
          <w:p w:rsidR="007E762D" w:rsidRPr="00340591" w:rsidRDefault="007E762D" w:rsidP="00EB0173">
            <w:pPr>
              <w:jc w:val="both"/>
              <w:rPr>
                <w:rFonts w:eastAsia="Times New Roman" w:cs="Times New Roman"/>
                <w:color w:val="000000"/>
              </w:rPr>
            </w:pPr>
            <w:r w:rsidRPr="00340591">
              <w:rPr>
                <w:rFonts w:eastAsia="Times New Roman" w:cs="Times New Roman"/>
                <w:color w:val="000000"/>
              </w:rPr>
              <w:t>REGION</w:t>
            </w:r>
          </w:p>
        </w:tc>
        <w:tc>
          <w:tcPr>
            <w:tcW w:w="1760" w:type="dxa"/>
            <w:tcBorders>
              <w:bottom w:val="single" w:sz="8" w:space="0" w:color="4BACC6" w:themeColor="accent5"/>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5,124</w:t>
            </w:r>
          </w:p>
        </w:tc>
        <w:tc>
          <w:tcPr>
            <w:tcW w:w="1540" w:type="dxa"/>
            <w:tcBorders>
              <w:bottom w:val="single" w:sz="8" w:space="0" w:color="4BACC6" w:themeColor="accent5"/>
            </w:tcBorders>
            <w:noWrap/>
            <w:hideMark/>
          </w:tcPr>
          <w:p w:rsidR="007E762D" w:rsidRPr="00340591"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40591">
              <w:rPr>
                <w:rFonts w:eastAsia="Times New Roman" w:cs="Times New Roman"/>
                <w:color w:val="000000"/>
              </w:rPr>
              <w:t>25,912</w:t>
            </w:r>
          </w:p>
        </w:tc>
      </w:tr>
      <w:tr w:rsidR="00340591" w:rsidRPr="00340591" w:rsidTr="00340591">
        <w:trPr>
          <w:trHeight w:val="315"/>
        </w:trPr>
        <w:tc>
          <w:tcPr>
            <w:cnfStyle w:val="001000000000" w:firstRow="0" w:lastRow="0" w:firstColumn="1" w:lastColumn="0" w:oddVBand="0" w:evenVBand="0" w:oddHBand="0" w:evenHBand="0" w:firstRowFirstColumn="0" w:firstRowLastColumn="0" w:lastRowFirstColumn="0" w:lastRowLastColumn="0"/>
            <w:tcW w:w="4660" w:type="dxa"/>
            <w:gridSpan w:val="3"/>
            <w:tcBorders>
              <w:top w:val="single" w:sz="8" w:space="0" w:color="4BACC6" w:themeColor="accent5"/>
              <w:bottom w:val="nil"/>
            </w:tcBorders>
            <w:noWrap/>
          </w:tcPr>
          <w:p w:rsidR="00340591" w:rsidRPr="00340591" w:rsidRDefault="00340591" w:rsidP="00EB0173">
            <w:pPr>
              <w:jc w:val="both"/>
              <w:rPr>
                <w:rFonts w:eastAsia="Times New Roman" w:cs="Times New Roman"/>
                <w:color w:val="000000"/>
              </w:rPr>
            </w:pPr>
            <w:r w:rsidRPr="00340591">
              <w:rPr>
                <w:b w:val="0"/>
                <w:sz w:val="18"/>
                <w:szCs w:val="18"/>
              </w:rPr>
              <w:t>(*)Public school systems only</w:t>
            </w:r>
            <w:r w:rsidRPr="00340591">
              <w:rPr>
                <w:b w:val="0"/>
                <w:sz w:val="18"/>
                <w:szCs w:val="18"/>
              </w:rPr>
              <w:br/>
              <w:t xml:space="preserve">Sources:  Georgia Department of Education, Enrollment by Ethnicity/Race, Gender and Grade Level (PK-12) for March 1, 2013; Georgia Department of Labor Area Labor Profile (June 2014) for 2012/2013 </w:t>
            </w:r>
          </w:p>
        </w:tc>
      </w:tr>
    </w:tbl>
    <w:p w:rsidR="007E762D" w:rsidRPr="00F018BC" w:rsidRDefault="007E762D" w:rsidP="00F018BC">
      <w:pPr>
        <w:pStyle w:val="Heading2"/>
      </w:pPr>
      <w:bookmarkStart w:id="17" w:name="_Toc395275936"/>
      <w:r w:rsidRPr="00F018BC">
        <w:t>Educational and Workforce Development Resources</w:t>
      </w:r>
      <w:bookmarkEnd w:id="17"/>
    </w:p>
    <w:p w:rsidR="007E762D" w:rsidRPr="007E762D" w:rsidRDefault="007E762D" w:rsidP="00EB0173">
      <w:pPr>
        <w:spacing w:line="240" w:lineRule="auto"/>
        <w:jc w:val="both"/>
        <w:rPr>
          <w:sz w:val="24"/>
          <w:szCs w:val="24"/>
        </w:rPr>
      </w:pPr>
      <w:r w:rsidRPr="007E762D">
        <w:rPr>
          <w:sz w:val="24"/>
          <w:szCs w:val="24"/>
        </w:rPr>
        <w:t>Northeast Georgia has a wealth of educational resources, with fourteen college and university campuses in 10 different cities (in 9 out of 12 counties). In addition to the University of Georgia in Athens, the region also plays host to three technical college systems (Athens Tech, Georgia Piedmont Tech, Southern Crescent Tech, and Lanier Tech). Newton County contains a branch of Emory University (Oxford College) and Troy University, an Alabama-based university with campuses in seven other states (Alabama and Georgia, as well as Florida, North Carolina, South Carolina, Tennessee, Texas, and Virginia) as well as three international locations in Japan, South Korea, and Vietnam. The region also has 140 public</w:t>
      </w:r>
      <w:r w:rsidRPr="007E762D">
        <w:rPr>
          <w:rStyle w:val="FootnoteReference"/>
          <w:sz w:val="24"/>
          <w:szCs w:val="24"/>
        </w:rPr>
        <w:footnoteReference w:id="3"/>
      </w:r>
      <w:r w:rsidRPr="007E762D">
        <w:rPr>
          <w:sz w:val="24"/>
          <w:szCs w:val="24"/>
        </w:rPr>
        <w:t xml:space="preserve"> and 8 private</w:t>
      </w:r>
      <w:r w:rsidRPr="007E762D">
        <w:rPr>
          <w:rStyle w:val="FootnoteReference"/>
          <w:sz w:val="24"/>
          <w:szCs w:val="24"/>
        </w:rPr>
        <w:footnoteReference w:id="4"/>
      </w:r>
      <w:r w:rsidRPr="007E762D">
        <w:rPr>
          <w:sz w:val="24"/>
          <w:szCs w:val="24"/>
        </w:rPr>
        <w:t xml:space="preserve"> K-12 schools as of the 2012/13 school year.</w:t>
      </w:r>
    </w:p>
    <w:p w:rsidR="007E762D" w:rsidRPr="007E762D" w:rsidRDefault="007E762D" w:rsidP="00EB0173">
      <w:pPr>
        <w:spacing w:line="240" w:lineRule="auto"/>
        <w:jc w:val="both"/>
        <w:rPr>
          <w:sz w:val="24"/>
          <w:szCs w:val="24"/>
        </w:rPr>
      </w:pPr>
    </w:p>
    <w:tbl>
      <w:tblPr>
        <w:tblStyle w:val="LightShading-Accent5"/>
        <w:tblW w:w="5740" w:type="dxa"/>
        <w:tblLook w:val="04A0" w:firstRow="1" w:lastRow="0" w:firstColumn="1" w:lastColumn="0" w:noHBand="0" w:noVBand="1"/>
      </w:tblPr>
      <w:tblGrid>
        <w:gridCol w:w="4380"/>
        <w:gridCol w:w="1360"/>
      </w:tblGrid>
      <w:tr w:rsidR="007E762D" w:rsidRPr="00176532" w:rsidTr="0017653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Cs w:val="0"/>
              </w:rPr>
            </w:pPr>
            <w:r w:rsidRPr="00176532">
              <w:rPr>
                <w:rFonts w:eastAsia="Times New Roman" w:cs="Times New Roman"/>
                <w:bCs w:val="0"/>
              </w:rPr>
              <w:t>College/University</w:t>
            </w:r>
          </w:p>
        </w:tc>
        <w:tc>
          <w:tcPr>
            <w:tcW w:w="1360" w:type="dxa"/>
            <w:noWrap/>
            <w:hideMark/>
          </w:tcPr>
          <w:p w:rsidR="007E762D" w:rsidRPr="00176532"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176532">
              <w:rPr>
                <w:rFonts w:eastAsia="Times New Roman" w:cs="Times New Roman"/>
                <w:bCs w:val="0"/>
              </w:rPr>
              <w:t>Location</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University of Georgia</w:t>
            </w:r>
          </w:p>
        </w:tc>
        <w:tc>
          <w:tcPr>
            <w:tcW w:w="13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Athens</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Athens Technical College (Main Campus)</w:t>
            </w:r>
          </w:p>
        </w:tc>
        <w:tc>
          <w:tcPr>
            <w:tcW w:w="13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Athens</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Athens Technical College (Elbert)</w:t>
            </w:r>
          </w:p>
        </w:tc>
        <w:tc>
          <w:tcPr>
            <w:tcW w:w="13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Elberton</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Athens Technical College (Greene)</w:t>
            </w:r>
          </w:p>
        </w:tc>
        <w:tc>
          <w:tcPr>
            <w:tcW w:w="13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Greensboro</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Athens Technical College (Walton)</w:t>
            </w:r>
          </w:p>
        </w:tc>
        <w:tc>
          <w:tcPr>
            <w:tcW w:w="13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Monroe</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Piedmont College</w:t>
            </w:r>
          </w:p>
        </w:tc>
        <w:tc>
          <w:tcPr>
            <w:tcW w:w="13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Athens</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Oxford College of Emory University</w:t>
            </w:r>
          </w:p>
        </w:tc>
        <w:tc>
          <w:tcPr>
            <w:tcW w:w="13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Oxford</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Troy University</w:t>
            </w:r>
          </w:p>
        </w:tc>
        <w:tc>
          <w:tcPr>
            <w:tcW w:w="13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Covington</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Georgia Perimeter College</w:t>
            </w:r>
          </w:p>
        </w:tc>
        <w:tc>
          <w:tcPr>
            <w:tcW w:w="13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Covington</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Georgia Piedmont Technical College</w:t>
            </w:r>
          </w:p>
        </w:tc>
        <w:tc>
          <w:tcPr>
            <w:tcW w:w="13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Covington</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University of North Georgia</w:t>
            </w:r>
          </w:p>
        </w:tc>
        <w:tc>
          <w:tcPr>
            <w:tcW w:w="13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Watkinsville</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Lanier Technical College (Jackson)</w:t>
            </w:r>
          </w:p>
        </w:tc>
        <w:tc>
          <w:tcPr>
            <w:tcW w:w="13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Commerce</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8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Lanier Technical College (Barrow)</w:t>
            </w:r>
          </w:p>
        </w:tc>
        <w:tc>
          <w:tcPr>
            <w:tcW w:w="13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Winder</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4380" w:type="dxa"/>
            <w:tcBorders>
              <w:bottom w:val="single" w:sz="8" w:space="0" w:color="4BACC6" w:themeColor="accent5"/>
            </w:tcBorders>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Southern Crescent Tech (Jasper)</w:t>
            </w:r>
          </w:p>
        </w:tc>
        <w:tc>
          <w:tcPr>
            <w:tcW w:w="1360" w:type="dxa"/>
            <w:tcBorders>
              <w:bottom w:val="single" w:sz="8" w:space="0" w:color="4BACC6" w:themeColor="accent5"/>
            </w:tcBorders>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Monticello</w:t>
            </w:r>
          </w:p>
        </w:tc>
      </w:tr>
      <w:tr w:rsidR="00176532"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40" w:type="dxa"/>
            <w:gridSpan w:val="2"/>
            <w:tcBorders>
              <w:top w:val="single" w:sz="8" w:space="0" w:color="4BACC6" w:themeColor="accent5"/>
              <w:bottom w:val="nil"/>
            </w:tcBorders>
            <w:shd w:val="clear" w:color="auto" w:fill="FFFFFF" w:themeFill="background1"/>
            <w:noWrap/>
          </w:tcPr>
          <w:p w:rsidR="00176532" w:rsidRPr="00176532" w:rsidRDefault="00176532" w:rsidP="005E1214">
            <w:pPr>
              <w:jc w:val="both"/>
              <w:rPr>
                <w:rFonts w:eastAsia="Times New Roman" w:cs="Times New Roman"/>
                <w:color w:val="000000"/>
              </w:rPr>
            </w:pPr>
            <w:r w:rsidRPr="00176532">
              <w:rPr>
                <w:b w:val="0"/>
                <w:sz w:val="18"/>
                <w:szCs w:val="18"/>
              </w:rPr>
              <w:t>Sources:  Northeast Georgia Plan 2035:  Regional Assessment 2011; 2012 Northeast Georgia Comprehensive Economic Development Strategy; Technical College System of Georgia.</w:t>
            </w:r>
          </w:p>
        </w:tc>
      </w:tr>
    </w:tbl>
    <w:p w:rsidR="007E762D" w:rsidRPr="007E762D" w:rsidRDefault="007E762D" w:rsidP="00EB0173">
      <w:pPr>
        <w:spacing w:line="240" w:lineRule="auto"/>
        <w:jc w:val="both"/>
        <w:rPr>
          <w:b/>
          <w:sz w:val="24"/>
          <w:szCs w:val="24"/>
        </w:rPr>
      </w:pPr>
    </w:p>
    <w:p w:rsidR="007E762D" w:rsidRPr="007E762D" w:rsidRDefault="007E762D" w:rsidP="003A3E2F">
      <w:pPr>
        <w:spacing w:line="240" w:lineRule="auto"/>
        <w:jc w:val="center"/>
        <w:rPr>
          <w:sz w:val="24"/>
          <w:szCs w:val="24"/>
        </w:rPr>
      </w:pPr>
      <w:r w:rsidRPr="007E762D">
        <w:rPr>
          <w:b/>
          <w:sz w:val="24"/>
          <w:szCs w:val="24"/>
        </w:rPr>
        <w:lastRenderedPageBreak/>
        <w:t>Map 5—Educational Resources</w:t>
      </w:r>
    </w:p>
    <w:p w:rsidR="007E762D" w:rsidRPr="007E762D" w:rsidRDefault="007E762D" w:rsidP="00EB0173">
      <w:pPr>
        <w:spacing w:line="240" w:lineRule="auto"/>
        <w:jc w:val="both"/>
        <w:rPr>
          <w:sz w:val="24"/>
          <w:szCs w:val="24"/>
        </w:rPr>
      </w:pPr>
      <w:r w:rsidRPr="007E762D">
        <w:rPr>
          <w:noProof/>
          <w:sz w:val="24"/>
          <w:szCs w:val="24"/>
        </w:rPr>
        <w:drawing>
          <wp:anchor distT="0" distB="0" distL="114300" distR="114300" simplePos="0" relativeHeight="251665408" behindDoc="1" locked="0" layoutInCell="1" allowOverlap="1" wp14:anchorId="695B78CE" wp14:editId="75365445">
            <wp:simplePos x="0" y="0"/>
            <wp:positionH relativeFrom="column">
              <wp:posOffset>0</wp:posOffset>
            </wp:positionH>
            <wp:positionV relativeFrom="paragraph">
              <wp:posOffset>1905</wp:posOffset>
            </wp:positionV>
            <wp:extent cx="5486400" cy="5486400"/>
            <wp:effectExtent l="0" t="0" r="0" b="0"/>
            <wp:wrapTight wrapText="bothSides">
              <wp:wrapPolygon edited="0">
                <wp:start x="0" y="0"/>
                <wp:lineTo x="0" y="21525"/>
                <wp:lineTo x="21525" y="21525"/>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5 (Educational Resource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7E762D" w:rsidRDefault="007E762D" w:rsidP="00EB0173">
      <w:pPr>
        <w:spacing w:line="240" w:lineRule="auto"/>
        <w:jc w:val="both"/>
        <w:rPr>
          <w:i/>
          <w:sz w:val="24"/>
          <w:szCs w:val="24"/>
        </w:rPr>
      </w:pPr>
    </w:p>
    <w:p w:rsidR="007E762D" w:rsidRPr="00176532" w:rsidRDefault="007E762D" w:rsidP="00EB0173">
      <w:pPr>
        <w:spacing w:line="240" w:lineRule="auto"/>
        <w:jc w:val="both"/>
        <w:rPr>
          <w:sz w:val="18"/>
          <w:szCs w:val="18"/>
        </w:rPr>
      </w:pPr>
      <w:r w:rsidRPr="00176532">
        <w:rPr>
          <w:sz w:val="18"/>
          <w:szCs w:val="18"/>
        </w:rPr>
        <w:t>Sources:  Technical College System of Georgia; Georgia Department of Education; Georgia Independent Schools Association; NEGRC databases.</w:t>
      </w:r>
    </w:p>
    <w:p w:rsidR="007E762D" w:rsidRPr="007E762D" w:rsidRDefault="007E762D" w:rsidP="00EB0173">
      <w:pPr>
        <w:spacing w:line="240" w:lineRule="auto"/>
        <w:jc w:val="both"/>
        <w:rPr>
          <w:sz w:val="24"/>
          <w:szCs w:val="24"/>
        </w:rPr>
      </w:pPr>
      <w:r w:rsidRPr="007E762D">
        <w:rPr>
          <w:sz w:val="24"/>
          <w:szCs w:val="24"/>
        </w:rPr>
        <w:t>Several programs at the technical colleges have seen significant increases in numbers, greater than 100%, of graduates from 2011 to 2013. The greatest increase has been in Emergency Medical Technicians (or Paramedics) at over 600%, Health Information/Medical Records Technology at over 500%, and Data Processing Technology at over 200%.</w:t>
      </w:r>
    </w:p>
    <w:p w:rsidR="00A27A39" w:rsidRDefault="00A27A39" w:rsidP="00EB0173">
      <w:pPr>
        <w:jc w:val="both"/>
        <w:rPr>
          <w:b/>
          <w:sz w:val="24"/>
          <w:szCs w:val="24"/>
        </w:rPr>
      </w:pPr>
      <w:r>
        <w:rPr>
          <w:b/>
          <w:sz w:val="24"/>
          <w:szCs w:val="24"/>
        </w:rPr>
        <w:br w:type="page"/>
      </w:r>
    </w:p>
    <w:p w:rsidR="00A27A39" w:rsidRPr="00A27A39" w:rsidRDefault="00A27A39" w:rsidP="00EB0173">
      <w:pPr>
        <w:pStyle w:val="Caption"/>
        <w:keepNext/>
        <w:jc w:val="both"/>
        <w:rPr>
          <w:color w:val="auto"/>
        </w:rPr>
      </w:pPr>
      <w:bookmarkStart w:id="18" w:name="_GoBack"/>
      <w:bookmarkEnd w:id="18"/>
      <w:r w:rsidRPr="00A27A39">
        <w:rPr>
          <w:color w:val="auto"/>
        </w:rPr>
        <w:lastRenderedPageBreak/>
        <w:t xml:space="preserve">Table </w:t>
      </w:r>
      <w:r w:rsidRPr="00A27A39">
        <w:rPr>
          <w:color w:val="auto"/>
        </w:rPr>
        <w:fldChar w:fldCharType="begin"/>
      </w:r>
      <w:r w:rsidRPr="00A27A39">
        <w:rPr>
          <w:color w:val="auto"/>
        </w:rPr>
        <w:instrText xml:space="preserve"> SEQ Table \* ARABIC </w:instrText>
      </w:r>
      <w:r w:rsidRPr="00A27A39">
        <w:rPr>
          <w:color w:val="auto"/>
        </w:rPr>
        <w:fldChar w:fldCharType="separate"/>
      </w:r>
      <w:r w:rsidR="00B91CD4">
        <w:rPr>
          <w:noProof/>
          <w:color w:val="auto"/>
        </w:rPr>
        <w:t>9</w:t>
      </w:r>
      <w:r w:rsidRPr="00A27A39">
        <w:rPr>
          <w:color w:val="auto"/>
        </w:rPr>
        <w:fldChar w:fldCharType="end"/>
      </w:r>
      <w:r w:rsidRPr="00A27A39">
        <w:rPr>
          <w:color w:val="auto"/>
        </w:rPr>
        <w:t xml:space="preserve"> </w:t>
      </w:r>
    </w:p>
    <w:tbl>
      <w:tblPr>
        <w:tblStyle w:val="LightShading-Accent5"/>
        <w:tblW w:w="9520" w:type="dxa"/>
        <w:tblLook w:val="04A0" w:firstRow="1" w:lastRow="0" w:firstColumn="1" w:lastColumn="0" w:noHBand="0" w:noVBand="1"/>
      </w:tblPr>
      <w:tblGrid>
        <w:gridCol w:w="6520"/>
        <w:gridCol w:w="760"/>
        <w:gridCol w:w="760"/>
        <w:gridCol w:w="1480"/>
      </w:tblGrid>
      <w:tr w:rsidR="00176532" w:rsidRPr="00176532" w:rsidTr="00176532">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6520" w:type="dxa"/>
            <w:noWrap/>
            <w:hideMark/>
          </w:tcPr>
          <w:p w:rsidR="007E762D" w:rsidRPr="00176532" w:rsidRDefault="007E762D" w:rsidP="00EB0173">
            <w:pPr>
              <w:jc w:val="both"/>
              <w:rPr>
                <w:rFonts w:eastAsia="Times New Roman" w:cs="Times New Roman"/>
                <w:bCs w:val="0"/>
              </w:rPr>
            </w:pPr>
            <w:r w:rsidRPr="00176532">
              <w:rPr>
                <w:rFonts w:eastAsia="Times New Roman" w:cs="Times New Roman"/>
                <w:bCs w:val="0"/>
              </w:rPr>
              <w:t>Tech College Program</w:t>
            </w:r>
          </w:p>
        </w:tc>
        <w:tc>
          <w:tcPr>
            <w:tcW w:w="760" w:type="dxa"/>
            <w:noWrap/>
            <w:hideMark/>
          </w:tcPr>
          <w:p w:rsidR="007E762D" w:rsidRPr="00176532"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176532">
              <w:rPr>
                <w:rFonts w:eastAsia="Times New Roman" w:cs="Times New Roman"/>
                <w:bCs w:val="0"/>
              </w:rPr>
              <w:t>2011</w:t>
            </w:r>
          </w:p>
        </w:tc>
        <w:tc>
          <w:tcPr>
            <w:tcW w:w="760" w:type="dxa"/>
            <w:noWrap/>
            <w:hideMark/>
          </w:tcPr>
          <w:p w:rsidR="007E762D" w:rsidRPr="00176532"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176532">
              <w:rPr>
                <w:rFonts w:eastAsia="Times New Roman" w:cs="Times New Roman"/>
                <w:bCs w:val="0"/>
              </w:rPr>
              <w:t>2013</w:t>
            </w:r>
          </w:p>
        </w:tc>
        <w:tc>
          <w:tcPr>
            <w:tcW w:w="1480" w:type="dxa"/>
            <w:hideMark/>
          </w:tcPr>
          <w:p w:rsidR="007E762D" w:rsidRPr="00176532"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176532">
              <w:rPr>
                <w:rFonts w:eastAsia="Times New Roman" w:cs="Times New Roman"/>
                <w:bCs w:val="0"/>
              </w:rPr>
              <w:t>% Change</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Automobile/Automotive Mechanics Technology/Technician</w:t>
            </w:r>
          </w:p>
        </w:tc>
        <w:tc>
          <w:tcPr>
            <w:tcW w:w="7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1,375</w:t>
            </w:r>
          </w:p>
        </w:tc>
        <w:tc>
          <w:tcPr>
            <w:tcW w:w="7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2,481</w:t>
            </w:r>
          </w:p>
        </w:tc>
        <w:tc>
          <w:tcPr>
            <w:tcW w:w="148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176532">
              <w:rPr>
                <w:rFonts w:eastAsia="Times New Roman" w:cs="Times New Roman"/>
                <w:b/>
                <w:bCs/>
              </w:rPr>
              <w:t>80.4%</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652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Business Administration and Management, General</w:t>
            </w:r>
          </w:p>
        </w:tc>
        <w:tc>
          <w:tcPr>
            <w:tcW w:w="7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226</w:t>
            </w:r>
          </w:p>
        </w:tc>
        <w:tc>
          <w:tcPr>
            <w:tcW w:w="7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477</w:t>
            </w:r>
          </w:p>
        </w:tc>
        <w:tc>
          <w:tcPr>
            <w:tcW w:w="148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rPr>
            </w:pPr>
            <w:r w:rsidRPr="00176532">
              <w:rPr>
                <w:rFonts w:eastAsia="Times New Roman" w:cs="Times New Roman"/>
                <w:b/>
                <w:bCs/>
              </w:rPr>
              <w:t>111.1%</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Carpentry/Carpenter</w:t>
            </w:r>
          </w:p>
        </w:tc>
        <w:tc>
          <w:tcPr>
            <w:tcW w:w="7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9</w:t>
            </w:r>
          </w:p>
        </w:tc>
        <w:tc>
          <w:tcPr>
            <w:tcW w:w="7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19</w:t>
            </w:r>
          </w:p>
        </w:tc>
        <w:tc>
          <w:tcPr>
            <w:tcW w:w="148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176532">
              <w:rPr>
                <w:rFonts w:eastAsia="Times New Roman" w:cs="Times New Roman"/>
                <w:b/>
                <w:bCs/>
              </w:rPr>
              <w:t>111.1%</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652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Criminal Justice/Safety Studies</w:t>
            </w:r>
          </w:p>
        </w:tc>
        <w:tc>
          <w:tcPr>
            <w:tcW w:w="7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842</w:t>
            </w:r>
          </w:p>
        </w:tc>
        <w:tc>
          <w:tcPr>
            <w:tcW w:w="7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1,705</w:t>
            </w:r>
          </w:p>
        </w:tc>
        <w:tc>
          <w:tcPr>
            <w:tcW w:w="148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rPr>
            </w:pPr>
            <w:r w:rsidRPr="00176532">
              <w:rPr>
                <w:rFonts w:eastAsia="Times New Roman" w:cs="Times New Roman"/>
                <w:b/>
                <w:bCs/>
              </w:rPr>
              <w:t>102.5%</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Data Processing and Data Processing Technology/Technician</w:t>
            </w:r>
          </w:p>
        </w:tc>
        <w:tc>
          <w:tcPr>
            <w:tcW w:w="7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138</w:t>
            </w:r>
          </w:p>
        </w:tc>
        <w:tc>
          <w:tcPr>
            <w:tcW w:w="7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530</w:t>
            </w:r>
          </w:p>
        </w:tc>
        <w:tc>
          <w:tcPr>
            <w:tcW w:w="148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176532">
              <w:rPr>
                <w:rFonts w:eastAsia="Times New Roman" w:cs="Times New Roman"/>
                <w:b/>
                <w:bCs/>
              </w:rPr>
              <w:t>284.1%</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652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Emergency Medical Technology/Technician (EMT Paramedic)</w:t>
            </w:r>
          </w:p>
        </w:tc>
        <w:tc>
          <w:tcPr>
            <w:tcW w:w="7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124</w:t>
            </w:r>
          </w:p>
        </w:tc>
        <w:tc>
          <w:tcPr>
            <w:tcW w:w="7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889</w:t>
            </w:r>
          </w:p>
        </w:tc>
        <w:tc>
          <w:tcPr>
            <w:tcW w:w="148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rPr>
            </w:pPr>
            <w:r w:rsidRPr="00176532">
              <w:rPr>
                <w:rFonts w:eastAsia="Times New Roman" w:cs="Times New Roman"/>
                <w:b/>
                <w:bCs/>
              </w:rPr>
              <w:t>616.9%</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Health Information/Medical Records Technology/Technician</w:t>
            </w:r>
          </w:p>
        </w:tc>
        <w:tc>
          <w:tcPr>
            <w:tcW w:w="7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24</w:t>
            </w:r>
          </w:p>
        </w:tc>
        <w:tc>
          <w:tcPr>
            <w:tcW w:w="7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146</w:t>
            </w:r>
          </w:p>
        </w:tc>
        <w:tc>
          <w:tcPr>
            <w:tcW w:w="148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176532">
              <w:rPr>
                <w:rFonts w:eastAsia="Times New Roman" w:cs="Times New Roman"/>
                <w:b/>
                <w:bCs/>
              </w:rPr>
              <w:t>508.3%</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652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Hospitality Administration/Management, General</w:t>
            </w:r>
          </w:p>
        </w:tc>
        <w:tc>
          <w:tcPr>
            <w:tcW w:w="7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168</w:t>
            </w:r>
          </w:p>
        </w:tc>
        <w:tc>
          <w:tcPr>
            <w:tcW w:w="76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308</w:t>
            </w:r>
          </w:p>
        </w:tc>
        <w:tc>
          <w:tcPr>
            <w:tcW w:w="1480" w:type="dxa"/>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rPr>
            </w:pPr>
            <w:r w:rsidRPr="00176532">
              <w:rPr>
                <w:rFonts w:eastAsia="Times New Roman" w:cs="Times New Roman"/>
                <w:b/>
                <w:bCs/>
              </w:rPr>
              <w:t>83.3%</w:t>
            </w:r>
          </w:p>
        </w:tc>
      </w:tr>
      <w:tr w:rsidR="007E762D"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0" w:type="dxa"/>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Human Resources Management/Personnel Administration, General</w:t>
            </w:r>
          </w:p>
        </w:tc>
        <w:tc>
          <w:tcPr>
            <w:tcW w:w="7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64</w:t>
            </w:r>
          </w:p>
        </w:tc>
        <w:tc>
          <w:tcPr>
            <w:tcW w:w="76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146</w:t>
            </w:r>
          </w:p>
        </w:tc>
        <w:tc>
          <w:tcPr>
            <w:tcW w:w="1480" w:type="dxa"/>
            <w:noWrap/>
            <w:hideMark/>
          </w:tcPr>
          <w:p w:rsidR="007E762D" w:rsidRPr="00176532"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176532">
              <w:rPr>
                <w:rFonts w:eastAsia="Times New Roman" w:cs="Times New Roman"/>
                <w:b/>
                <w:bCs/>
              </w:rPr>
              <w:t>128.1%</w:t>
            </w:r>
          </w:p>
        </w:tc>
      </w:tr>
      <w:tr w:rsidR="007E762D" w:rsidRPr="00176532" w:rsidTr="00176532">
        <w:trPr>
          <w:trHeight w:val="300"/>
        </w:trPr>
        <w:tc>
          <w:tcPr>
            <w:cnfStyle w:val="001000000000" w:firstRow="0" w:lastRow="0" w:firstColumn="1" w:lastColumn="0" w:oddVBand="0" w:evenVBand="0" w:oddHBand="0" w:evenHBand="0" w:firstRowFirstColumn="0" w:firstRowLastColumn="0" w:lastRowFirstColumn="0" w:lastRowLastColumn="0"/>
            <w:tcW w:w="6520" w:type="dxa"/>
            <w:tcBorders>
              <w:bottom w:val="single" w:sz="8" w:space="0" w:color="4BACC6" w:themeColor="accent5"/>
            </w:tcBorders>
            <w:noWrap/>
            <w:hideMark/>
          </w:tcPr>
          <w:p w:rsidR="007E762D" w:rsidRPr="00176532" w:rsidRDefault="007E762D" w:rsidP="00EB0173">
            <w:pPr>
              <w:jc w:val="both"/>
              <w:rPr>
                <w:rFonts w:eastAsia="Times New Roman" w:cs="Times New Roman"/>
                <w:b w:val="0"/>
                <w:color w:val="000000"/>
              </w:rPr>
            </w:pPr>
            <w:r w:rsidRPr="00176532">
              <w:rPr>
                <w:rFonts w:eastAsia="Times New Roman" w:cs="Times New Roman"/>
                <w:b w:val="0"/>
                <w:color w:val="000000"/>
              </w:rPr>
              <w:t>Machine Shop Technology/Assistant</w:t>
            </w:r>
          </w:p>
        </w:tc>
        <w:tc>
          <w:tcPr>
            <w:tcW w:w="760" w:type="dxa"/>
            <w:tcBorders>
              <w:bottom w:val="single" w:sz="8" w:space="0" w:color="4BACC6" w:themeColor="accent5"/>
            </w:tcBorders>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232</w:t>
            </w:r>
          </w:p>
        </w:tc>
        <w:tc>
          <w:tcPr>
            <w:tcW w:w="760" w:type="dxa"/>
            <w:tcBorders>
              <w:bottom w:val="single" w:sz="8" w:space="0" w:color="4BACC6" w:themeColor="accent5"/>
            </w:tcBorders>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176532">
              <w:rPr>
                <w:rFonts w:eastAsia="Times New Roman" w:cs="Times New Roman"/>
                <w:color w:val="000000"/>
              </w:rPr>
              <w:t>396</w:t>
            </w:r>
          </w:p>
        </w:tc>
        <w:tc>
          <w:tcPr>
            <w:tcW w:w="1480" w:type="dxa"/>
            <w:tcBorders>
              <w:bottom w:val="single" w:sz="8" w:space="0" w:color="4BACC6" w:themeColor="accent5"/>
            </w:tcBorders>
            <w:noWrap/>
            <w:hideMark/>
          </w:tcPr>
          <w:p w:rsidR="007E762D" w:rsidRPr="00176532"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rPr>
            </w:pPr>
            <w:r w:rsidRPr="00176532">
              <w:rPr>
                <w:rFonts w:eastAsia="Times New Roman" w:cs="Times New Roman"/>
                <w:b/>
                <w:bCs/>
              </w:rPr>
              <w:t>70.7%</w:t>
            </w:r>
          </w:p>
        </w:tc>
      </w:tr>
      <w:tr w:rsidR="00176532" w:rsidRPr="00176532" w:rsidTr="001765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0" w:type="dxa"/>
            <w:gridSpan w:val="4"/>
            <w:tcBorders>
              <w:top w:val="single" w:sz="8" w:space="0" w:color="4BACC6" w:themeColor="accent5"/>
              <w:bottom w:val="nil"/>
            </w:tcBorders>
            <w:shd w:val="clear" w:color="auto" w:fill="FFFFFF" w:themeFill="background1"/>
            <w:noWrap/>
          </w:tcPr>
          <w:p w:rsidR="00176532" w:rsidRPr="00176532" w:rsidRDefault="00176532" w:rsidP="00EB0173">
            <w:pPr>
              <w:jc w:val="both"/>
              <w:rPr>
                <w:rFonts w:eastAsia="Times New Roman" w:cs="Times New Roman"/>
                <w:b w:val="0"/>
                <w:bCs w:val="0"/>
              </w:rPr>
            </w:pPr>
            <w:r w:rsidRPr="00176532">
              <w:rPr>
                <w:b w:val="0"/>
                <w:sz w:val="18"/>
                <w:szCs w:val="18"/>
              </w:rPr>
              <w:t xml:space="preserve">Source:  Georgia Department of Labor Area Labor Profile (June 2014) for 2012/2013 </w:t>
            </w:r>
          </w:p>
        </w:tc>
      </w:tr>
    </w:tbl>
    <w:p w:rsidR="00A27A39" w:rsidRDefault="00A27A39" w:rsidP="00EB0173">
      <w:pPr>
        <w:spacing w:after="0" w:line="240" w:lineRule="auto"/>
        <w:jc w:val="both"/>
        <w:rPr>
          <w:sz w:val="24"/>
          <w:szCs w:val="24"/>
        </w:rPr>
      </w:pPr>
    </w:p>
    <w:p w:rsidR="007E762D" w:rsidRDefault="007E762D" w:rsidP="00EB0173">
      <w:pPr>
        <w:spacing w:after="0" w:line="240" w:lineRule="auto"/>
        <w:jc w:val="both"/>
        <w:rPr>
          <w:sz w:val="24"/>
          <w:szCs w:val="24"/>
        </w:rPr>
      </w:pPr>
      <w:r w:rsidRPr="007E762D">
        <w:rPr>
          <w:sz w:val="24"/>
          <w:szCs w:val="24"/>
        </w:rPr>
        <w:t>Career centers for workforce development are located in Athens, Greensboro and Covington. The NEGRC Workforce Development Division lists several providers for workforce development training throughout the region as of June 2014.</w:t>
      </w:r>
    </w:p>
    <w:p w:rsidR="00A27A39" w:rsidRPr="007E762D" w:rsidRDefault="00A27A39" w:rsidP="00EB0173">
      <w:pPr>
        <w:spacing w:after="0" w:line="240" w:lineRule="auto"/>
        <w:jc w:val="both"/>
        <w:rPr>
          <w:sz w:val="24"/>
          <w:szCs w:val="24"/>
        </w:rPr>
      </w:pPr>
    </w:p>
    <w:p w:rsidR="00A27A39" w:rsidRPr="00A27A39" w:rsidRDefault="00A27A39" w:rsidP="00EB0173">
      <w:pPr>
        <w:pStyle w:val="Caption"/>
        <w:keepNext/>
        <w:jc w:val="both"/>
        <w:rPr>
          <w:color w:val="auto"/>
        </w:rPr>
      </w:pPr>
      <w:r w:rsidRPr="00A27A39">
        <w:rPr>
          <w:color w:val="auto"/>
        </w:rPr>
        <w:t xml:space="preserve">Table </w:t>
      </w:r>
      <w:r w:rsidRPr="00A27A39">
        <w:rPr>
          <w:color w:val="auto"/>
        </w:rPr>
        <w:fldChar w:fldCharType="begin"/>
      </w:r>
      <w:r w:rsidRPr="00A27A39">
        <w:rPr>
          <w:color w:val="auto"/>
        </w:rPr>
        <w:instrText xml:space="preserve"> SEQ Table \* ARABIC </w:instrText>
      </w:r>
      <w:r w:rsidRPr="00A27A39">
        <w:rPr>
          <w:color w:val="auto"/>
        </w:rPr>
        <w:fldChar w:fldCharType="separate"/>
      </w:r>
      <w:r w:rsidR="00B91CD4">
        <w:rPr>
          <w:noProof/>
          <w:color w:val="auto"/>
        </w:rPr>
        <w:t>10</w:t>
      </w:r>
      <w:r w:rsidRPr="00A27A39">
        <w:rPr>
          <w:color w:val="auto"/>
        </w:rPr>
        <w:fldChar w:fldCharType="end"/>
      </w:r>
    </w:p>
    <w:tbl>
      <w:tblPr>
        <w:tblStyle w:val="LightShading-Accent5"/>
        <w:tblW w:w="6879" w:type="dxa"/>
        <w:tblLook w:val="04A0" w:firstRow="1" w:lastRow="0" w:firstColumn="1" w:lastColumn="0" w:noHBand="0" w:noVBand="1"/>
      </w:tblPr>
      <w:tblGrid>
        <w:gridCol w:w="5080"/>
        <w:gridCol w:w="1799"/>
      </w:tblGrid>
      <w:tr w:rsidR="00A27A39" w:rsidRPr="00A27A39" w:rsidTr="00A27A3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80" w:type="dxa"/>
            <w:noWrap/>
            <w:hideMark/>
          </w:tcPr>
          <w:p w:rsidR="007E762D" w:rsidRPr="00A27A39" w:rsidRDefault="007E762D" w:rsidP="00EB0173">
            <w:pPr>
              <w:jc w:val="both"/>
              <w:rPr>
                <w:rFonts w:eastAsia="Times New Roman" w:cs="Times New Roman"/>
                <w:bCs w:val="0"/>
              </w:rPr>
            </w:pPr>
            <w:r w:rsidRPr="00A27A39">
              <w:rPr>
                <w:rFonts w:eastAsia="Times New Roman" w:cs="Times New Roman"/>
                <w:bCs w:val="0"/>
              </w:rPr>
              <w:t>Workforce Training</w:t>
            </w:r>
          </w:p>
        </w:tc>
        <w:tc>
          <w:tcPr>
            <w:tcW w:w="1799" w:type="dxa"/>
            <w:noWrap/>
            <w:hideMark/>
          </w:tcPr>
          <w:p w:rsidR="007E762D" w:rsidRPr="00A27A39" w:rsidRDefault="007E762D"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A27A39">
              <w:rPr>
                <w:rFonts w:eastAsia="Times New Roman" w:cs="Times New Roman"/>
                <w:bCs w:val="0"/>
              </w:rPr>
              <w:t>Location</w:t>
            </w:r>
          </w:p>
        </w:tc>
      </w:tr>
      <w:tr w:rsidR="007E762D" w:rsidRPr="00A27A39" w:rsidTr="00A27A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80" w:type="dxa"/>
            <w:noWrap/>
            <w:hideMark/>
          </w:tcPr>
          <w:p w:rsidR="007E762D" w:rsidRPr="00A27A39" w:rsidRDefault="007E762D" w:rsidP="00EB0173">
            <w:pPr>
              <w:jc w:val="both"/>
              <w:rPr>
                <w:rFonts w:eastAsia="Times New Roman" w:cs="Times New Roman"/>
                <w:b w:val="0"/>
                <w:color w:val="000000"/>
              </w:rPr>
            </w:pPr>
            <w:r w:rsidRPr="00A27A39">
              <w:rPr>
                <w:rFonts w:eastAsia="Times New Roman" w:cs="Times New Roman"/>
                <w:b w:val="0"/>
                <w:color w:val="000000"/>
              </w:rPr>
              <w:t>Athens Technical College</w:t>
            </w:r>
          </w:p>
        </w:tc>
        <w:tc>
          <w:tcPr>
            <w:tcW w:w="1799" w:type="dxa"/>
            <w:noWrap/>
            <w:hideMark/>
          </w:tcPr>
          <w:p w:rsidR="007E762D" w:rsidRPr="00A27A39"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A27A39">
              <w:rPr>
                <w:rFonts w:eastAsia="Times New Roman" w:cs="Times New Roman"/>
                <w:color w:val="000000"/>
              </w:rPr>
              <w:t>Athens</w:t>
            </w:r>
          </w:p>
        </w:tc>
      </w:tr>
      <w:tr w:rsidR="007E762D" w:rsidRPr="00A27A39" w:rsidTr="00A27A39">
        <w:trPr>
          <w:trHeight w:val="300"/>
        </w:trPr>
        <w:tc>
          <w:tcPr>
            <w:cnfStyle w:val="001000000000" w:firstRow="0" w:lastRow="0" w:firstColumn="1" w:lastColumn="0" w:oddVBand="0" w:evenVBand="0" w:oddHBand="0" w:evenHBand="0" w:firstRowFirstColumn="0" w:firstRowLastColumn="0" w:lastRowFirstColumn="0" w:lastRowLastColumn="0"/>
            <w:tcW w:w="5080" w:type="dxa"/>
            <w:noWrap/>
            <w:hideMark/>
          </w:tcPr>
          <w:p w:rsidR="007E762D" w:rsidRPr="00A27A39" w:rsidRDefault="007E762D" w:rsidP="00EB0173">
            <w:pPr>
              <w:jc w:val="both"/>
              <w:rPr>
                <w:rFonts w:eastAsia="Times New Roman" w:cs="Times New Roman"/>
                <w:b w:val="0"/>
                <w:color w:val="000000"/>
              </w:rPr>
            </w:pPr>
            <w:r w:rsidRPr="00A27A39">
              <w:rPr>
                <w:rFonts w:eastAsia="Times New Roman" w:cs="Times New Roman"/>
                <w:b w:val="0"/>
                <w:color w:val="000000"/>
              </w:rPr>
              <w:t>Bread for Life</w:t>
            </w:r>
          </w:p>
        </w:tc>
        <w:tc>
          <w:tcPr>
            <w:tcW w:w="1799" w:type="dxa"/>
            <w:noWrap/>
            <w:hideMark/>
          </w:tcPr>
          <w:p w:rsidR="007E762D" w:rsidRPr="00A27A39"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27A39">
              <w:rPr>
                <w:rFonts w:eastAsia="Times New Roman" w:cs="Times New Roman"/>
                <w:color w:val="000000"/>
              </w:rPr>
              <w:t>Watkinsville</w:t>
            </w:r>
          </w:p>
        </w:tc>
      </w:tr>
      <w:tr w:rsidR="007E762D" w:rsidRPr="00A27A39" w:rsidTr="00A27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0" w:type="dxa"/>
            <w:noWrap/>
            <w:hideMark/>
          </w:tcPr>
          <w:p w:rsidR="007E762D" w:rsidRPr="00A27A39" w:rsidRDefault="007E762D" w:rsidP="00EB0173">
            <w:pPr>
              <w:jc w:val="both"/>
              <w:rPr>
                <w:rFonts w:eastAsia="Times New Roman" w:cs="Times New Roman"/>
                <w:b w:val="0"/>
                <w:color w:val="000000"/>
              </w:rPr>
            </w:pPr>
            <w:r w:rsidRPr="00A27A39">
              <w:rPr>
                <w:rFonts w:eastAsia="Times New Roman" w:cs="Times New Roman"/>
                <w:b w:val="0"/>
                <w:color w:val="000000"/>
              </w:rPr>
              <w:t>CDL of Georgia</w:t>
            </w:r>
          </w:p>
        </w:tc>
        <w:tc>
          <w:tcPr>
            <w:tcW w:w="1799" w:type="dxa"/>
            <w:noWrap/>
            <w:hideMark/>
          </w:tcPr>
          <w:p w:rsidR="007E762D" w:rsidRPr="00A27A39"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A27A39">
              <w:rPr>
                <w:rFonts w:eastAsia="Times New Roman" w:cs="Times New Roman"/>
                <w:color w:val="000000"/>
              </w:rPr>
              <w:t>Winder</w:t>
            </w:r>
          </w:p>
        </w:tc>
      </w:tr>
      <w:tr w:rsidR="007E762D" w:rsidRPr="00A27A39" w:rsidTr="00A27A39">
        <w:trPr>
          <w:trHeight w:val="300"/>
        </w:trPr>
        <w:tc>
          <w:tcPr>
            <w:cnfStyle w:val="001000000000" w:firstRow="0" w:lastRow="0" w:firstColumn="1" w:lastColumn="0" w:oddVBand="0" w:evenVBand="0" w:oddHBand="0" w:evenHBand="0" w:firstRowFirstColumn="0" w:firstRowLastColumn="0" w:lastRowFirstColumn="0" w:lastRowLastColumn="0"/>
            <w:tcW w:w="5080" w:type="dxa"/>
            <w:noWrap/>
            <w:hideMark/>
          </w:tcPr>
          <w:p w:rsidR="007E762D" w:rsidRPr="00A27A39" w:rsidRDefault="007E762D" w:rsidP="00EB0173">
            <w:pPr>
              <w:jc w:val="both"/>
              <w:rPr>
                <w:rFonts w:eastAsia="Times New Roman" w:cs="Times New Roman"/>
                <w:b w:val="0"/>
                <w:color w:val="000000"/>
              </w:rPr>
            </w:pPr>
            <w:r w:rsidRPr="00A27A39">
              <w:rPr>
                <w:rFonts w:eastAsia="Times New Roman" w:cs="Times New Roman"/>
                <w:b w:val="0"/>
                <w:color w:val="000000"/>
              </w:rPr>
              <w:t>Georgia Perimeter College</w:t>
            </w:r>
          </w:p>
        </w:tc>
        <w:tc>
          <w:tcPr>
            <w:tcW w:w="1799" w:type="dxa"/>
            <w:noWrap/>
            <w:hideMark/>
          </w:tcPr>
          <w:p w:rsidR="007E762D" w:rsidRPr="00A27A39"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27A39">
              <w:rPr>
                <w:rFonts w:eastAsia="Times New Roman" w:cs="Times New Roman"/>
                <w:color w:val="000000"/>
              </w:rPr>
              <w:t>Covington</w:t>
            </w:r>
          </w:p>
        </w:tc>
      </w:tr>
      <w:tr w:rsidR="007E762D" w:rsidRPr="00A27A39" w:rsidTr="00A27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0" w:type="dxa"/>
            <w:noWrap/>
            <w:hideMark/>
          </w:tcPr>
          <w:p w:rsidR="007E762D" w:rsidRPr="00A27A39" w:rsidRDefault="007E762D" w:rsidP="00EB0173">
            <w:pPr>
              <w:jc w:val="both"/>
              <w:rPr>
                <w:rFonts w:eastAsia="Times New Roman" w:cs="Times New Roman"/>
                <w:b w:val="0"/>
                <w:color w:val="000000"/>
              </w:rPr>
            </w:pPr>
            <w:r w:rsidRPr="00A27A39">
              <w:rPr>
                <w:rFonts w:eastAsia="Times New Roman" w:cs="Times New Roman"/>
                <w:b w:val="0"/>
                <w:color w:val="000000"/>
              </w:rPr>
              <w:t>Georgia Piedmont Technical College</w:t>
            </w:r>
          </w:p>
        </w:tc>
        <w:tc>
          <w:tcPr>
            <w:tcW w:w="1799" w:type="dxa"/>
            <w:noWrap/>
            <w:hideMark/>
          </w:tcPr>
          <w:p w:rsidR="007E762D" w:rsidRPr="00A27A39"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A27A39">
              <w:rPr>
                <w:rFonts w:eastAsia="Times New Roman" w:cs="Times New Roman"/>
                <w:color w:val="000000"/>
              </w:rPr>
              <w:t>Covington</w:t>
            </w:r>
          </w:p>
        </w:tc>
      </w:tr>
      <w:tr w:rsidR="007E762D" w:rsidRPr="00A27A39" w:rsidTr="00A27A39">
        <w:trPr>
          <w:trHeight w:val="300"/>
        </w:trPr>
        <w:tc>
          <w:tcPr>
            <w:cnfStyle w:val="001000000000" w:firstRow="0" w:lastRow="0" w:firstColumn="1" w:lastColumn="0" w:oddVBand="0" w:evenVBand="0" w:oddHBand="0" w:evenHBand="0" w:firstRowFirstColumn="0" w:firstRowLastColumn="0" w:lastRowFirstColumn="0" w:lastRowLastColumn="0"/>
            <w:tcW w:w="5080" w:type="dxa"/>
            <w:noWrap/>
            <w:hideMark/>
          </w:tcPr>
          <w:p w:rsidR="007E762D" w:rsidRPr="00A27A39" w:rsidRDefault="007E762D" w:rsidP="00EB0173">
            <w:pPr>
              <w:jc w:val="both"/>
              <w:rPr>
                <w:rFonts w:eastAsia="Times New Roman" w:cs="Times New Roman"/>
                <w:b w:val="0"/>
                <w:color w:val="000000"/>
              </w:rPr>
            </w:pPr>
            <w:r w:rsidRPr="00A27A39">
              <w:rPr>
                <w:rFonts w:eastAsia="Times New Roman" w:cs="Times New Roman"/>
                <w:b w:val="0"/>
                <w:color w:val="000000"/>
              </w:rPr>
              <w:t>Goodwill of North Georgia</w:t>
            </w:r>
          </w:p>
        </w:tc>
        <w:tc>
          <w:tcPr>
            <w:tcW w:w="1799" w:type="dxa"/>
            <w:noWrap/>
            <w:hideMark/>
          </w:tcPr>
          <w:p w:rsidR="007E762D" w:rsidRPr="00A27A39"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27A39">
              <w:rPr>
                <w:rFonts w:eastAsia="Times New Roman" w:cs="Times New Roman"/>
                <w:color w:val="000000"/>
              </w:rPr>
              <w:t>Athens</w:t>
            </w:r>
          </w:p>
        </w:tc>
      </w:tr>
      <w:tr w:rsidR="007E762D" w:rsidRPr="00A27A39" w:rsidTr="00A27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0" w:type="dxa"/>
            <w:noWrap/>
            <w:hideMark/>
          </w:tcPr>
          <w:p w:rsidR="007E762D" w:rsidRPr="00A27A39" w:rsidRDefault="007E762D" w:rsidP="00EB0173">
            <w:pPr>
              <w:jc w:val="both"/>
              <w:rPr>
                <w:rFonts w:eastAsia="Times New Roman" w:cs="Times New Roman"/>
                <w:b w:val="0"/>
                <w:color w:val="000000"/>
              </w:rPr>
            </w:pPr>
            <w:r w:rsidRPr="00A27A39">
              <w:rPr>
                <w:rFonts w:eastAsia="Times New Roman" w:cs="Times New Roman"/>
                <w:b w:val="0"/>
                <w:color w:val="000000"/>
              </w:rPr>
              <w:t>Lanier Technical College</w:t>
            </w:r>
          </w:p>
        </w:tc>
        <w:tc>
          <w:tcPr>
            <w:tcW w:w="1799" w:type="dxa"/>
            <w:noWrap/>
            <w:hideMark/>
          </w:tcPr>
          <w:p w:rsidR="007E762D" w:rsidRPr="00A27A39"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A27A39">
              <w:rPr>
                <w:rFonts w:eastAsia="Times New Roman" w:cs="Times New Roman"/>
                <w:color w:val="000000"/>
              </w:rPr>
              <w:t>Winder</w:t>
            </w:r>
          </w:p>
        </w:tc>
      </w:tr>
      <w:tr w:rsidR="007E762D" w:rsidRPr="00A27A39" w:rsidTr="00A27A39">
        <w:trPr>
          <w:trHeight w:val="300"/>
        </w:trPr>
        <w:tc>
          <w:tcPr>
            <w:cnfStyle w:val="001000000000" w:firstRow="0" w:lastRow="0" w:firstColumn="1" w:lastColumn="0" w:oddVBand="0" w:evenVBand="0" w:oddHBand="0" w:evenHBand="0" w:firstRowFirstColumn="0" w:firstRowLastColumn="0" w:lastRowFirstColumn="0" w:lastRowLastColumn="0"/>
            <w:tcW w:w="5080" w:type="dxa"/>
            <w:noWrap/>
            <w:hideMark/>
          </w:tcPr>
          <w:p w:rsidR="007E762D" w:rsidRPr="00A27A39" w:rsidRDefault="007E762D" w:rsidP="00EB0173">
            <w:pPr>
              <w:jc w:val="both"/>
              <w:rPr>
                <w:rFonts w:eastAsia="Times New Roman" w:cs="Times New Roman"/>
                <w:b w:val="0"/>
                <w:color w:val="000000"/>
              </w:rPr>
            </w:pPr>
            <w:r w:rsidRPr="00A27A39">
              <w:rPr>
                <w:rFonts w:eastAsia="Times New Roman" w:cs="Times New Roman"/>
                <w:b w:val="0"/>
                <w:color w:val="000000"/>
              </w:rPr>
              <w:t>Northeast Georgia RESA</w:t>
            </w:r>
          </w:p>
        </w:tc>
        <w:tc>
          <w:tcPr>
            <w:tcW w:w="1799" w:type="dxa"/>
            <w:noWrap/>
            <w:hideMark/>
          </w:tcPr>
          <w:p w:rsidR="007E762D" w:rsidRPr="00A27A39"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27A39">
              <w:rPr>
                <w:rFonts w:eastAsia="Times New Roman" w:cs="Times New Roman"/>
                <w:color w:val="000000"/>
              </w:rPr>
              <w:t>Winterville</w:t>
            </w:r>
          </w:p>
        </w:tc>
      </w:tr>
      <w:tr w:rsidR="007E762D" w:rsidRPr="00A27A39" w:rsidTr="00A27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0" w:type="dxa"/>
            <w:tcBorders>
              <w:bottom w:val="single" w:sz="8" w:space="0" w:color="4BACC6" w:themeColor="accent5"/>
            </w:tcBorders>
            <w:noWrap/>
            <w:hideMark/>
          </w:tcPr>
          <w:p w:rsidR="007E762D" w:rsidRPr="00A27A39" w:rsidRDefault="007E762D" w:rsidP="00EB0173">
            <w:pPr>
              <w:jc w:val="both"/>
              <w:rPr>
                <w:rFonts w:eastAsia="Times New Roman" w:cs="Times New Roman"/>
                <w:b w:val="0"/>
                <w:color w:val="000000"/>
              </w:rPr>
            </w:pPr>
            <w:r w:rsidRPr="00A27A39">
              <w:rPr>
                <w:rFonts w:eastAsia="Times New Roman" w:cs="Times New Roman"/>
                <w:b w:val="0"/>
                <w:color w:val="000000"/>
              </w:rPr>
              <w:t>University of Georgia</w:t>
            </w:r>
          </w:p>
        </w:tc>
        <w:tc>
          <w:tcPr>
            <w:tcW w:w="1799" w:type="dxa"/>
            <w:tcBorders>
              <w:bottom w:val="single" w:sz="8" w:space="0" w:color="4BACC6" w:themeColor="accent5"/>
            </w:tcBorders>
            <w:noWrap/>
            <w:hideMark/>
          </w:tcPr>
          <w:p w:rsidR="007E762D" w:rsidRPr="00A27A39"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A27A39">
              <w:rPr>
                <w:rFonts w:eastAsia="Times New Roman" w:cs="Times New Roman"/>
                <w:color w:val="000000"/>
              </w:rPr>
              <w:t>Athens</w:t>
            </w:r>
          </w:p>
        </w:tc>
      </w:tr>
      <w:tr w:rsidR="00A27A39" w:rsidRPr="00A27A39" w:rsidTr="00A27A39">
        <w:trPr>
          <w:trHeight w:val="300"/>
        </w:trPr>
        <w:tc>
          <w:tcPr>
            <w:cnfStyle w:val="001000000000" w:firstRow="0" w:lastRow="0" w:firstColumn="1" w:lastColumn="0" w:oddVBand="0" w:evenVBand="0" w:oddHBand="0" w:evenHBand="0" w:firstRowFirstColumn="0" w:firstRowLastColumn="0" w:lastRowFirstColumn="0" w:lastRowLastColumn="0"/>
            <w:tcW w:w="6879" w:type="dxa"/>
            <w:gridSpan w:val="2"/>
            <w:tcBorders>
              <w:top w:val="single" w:sz="8" w:space="0" w:color="4BACC6" w:themeColor="accent5"/>
              <w:bottom w:val="nil"/>
            </w:tcBorders>
            <w:noWrap/>
          </w:tcPr>
          <w:p w:rsidR="00A27A39" w:rsidRPr="00A27A39" w:rsidRDefault="00A27A39" w:rsidP="00EB0173">
            <w:pPr>
              <w:jc w:val="both"/>
              <w:rPr>
                <w:rFonts w:eastAsia="Times New Roman" w:cs="Times New Roman"/>
                <w:color w:val="000000"/>
              </w:rPr>
            </w:pPr>
            <w:r w:rsidRPr="00A27A39">
              <w:rPr>
                <w:b w:val="0"/>
                <w:sz w:val="18"/>
                <w:szCs w:val="18"/>
              </w:rPr>
              <w:t xml:space="preserve">(for more information about specific details and programs offered at these locations, see:  </w:t>
            </w:r>
            <w:hyperlink r:id="rId34" w:history="1">
              <w:r w:rsidRPr="00A27A39">
                <w:rPr>
                  <w:rStyle w:val="Hyperlink"/>
                  <w:b w:val="0"/>
                  <w:sz w:val="18"/>
                  <w:szCs w:val="18"/>
                </w:rPr>
                <w:t>http://www.negrc.org/user_files//1402596825_WIA%20NE%20GA%20EPL%206.10.14.pdf</w:t>
              </w:r>
            </w:hyperlink>
            <w:r w:rsidRPr="00A27A39">
              <w:rPr>
                <w:b w:val="0"/>
                <w:sz w:val="18"/>
                <w:szCs w:val="18"/>
              </w:rPr>
              <w:t>)</w:t>
            </w:r>
          </w:p>
        </w:tc>
      </w:tr>
    </w:tbl>
    <w:p w:rsidR="007E762D" w:rsidRPr="00F018BC" w:rsidRDefault="007E762D" w:rsidP="00F018BC">
      <w:pPr>
        <w:pStyle w:val="Heading2"/>
      </w:pPr>
      <w:bookmarkStart w:id="19" w:name="_Toc395275937"/>
      <w:r w:rsidRPr="00F018BC">
        <w:t>Computer Utilization and Digital Readiness</w:t>
      </w:r>
      <w:bookmarkEnd w:id="19"/>
    </w:p>
    <w:p w:rsidR="007E762D" w:rsidRPr="007E762D" w:rsidRDefault="007E762D" w:rsidP="00EB0173">
      <w:pPr>
        <w:spacing w:line="240" w:lineRule="auto"/>
        <w:jc w:val="both"/>
        <w:rPr>
          <w:sz w:val="24"/>
          <w:szCs w:val="24"/>
        </w:rPr>
      </w:pPr>
      <w:r w:rsidRPr="007E762D">
        <w:rPr>
          <w:sz w:val="24"/>
          <w:szCs w:val="24"/>
        </w:rPr>
        <w:t xml:space="preserve">In 2013, approximately 72% (153,679) of the region’s 213,096 households had a personal computer, approximately 83% (372,666) and approximately 54% (243,217) of the region’s adult population has internet access and broadband at home, respectively.  </w:t>
      </w:r>
    </w:p>
    <w:p w:rsidR="007E762D" w:rsidRPr="007E762D" w:rsidRDefault="007E762D" w:rsidP="00EB0173">
      <w:pPr>
        <w:spacing w:line="240" w:lineRule="auto"/>
        <w:jc w:val="both"/>
        <w:rPr>
          <w:sz w:val="24"/>
          <w:szCs w:val="24"/>
        </w:rPr>
      </w:pPr>
    </w:p>
    <w:p w:rsidR="00D67335" w:rsidRPr="00D67335" w:rsidRDefault="00D67335" w:rsidP="00EB0173">
      <w:pPr>
        <w:pStyle w:val="Caption"/>
        <w:keepNext/>
        <w:jc w:val="both"/>
        <w:rPr>
          <w:color w:val="auto"/>
        </w:rPr>
      </w:pPr>
      <w:r w:rsidRPr="00D67335">
        <w:rPr>
          <w:color w:val="auto"/>
        </w:rPr>
        <w:lastRenderedPageBreak/>
        <w:t xml:space="preserve">Table </w:t>
      </w:r>
      <w:r w:rsidRPr="00D67335">
        <w:rPr>
          <w:color w:val="auto"/>
        </w:rPr>
        <w:fldChar w:fldCharType="begin"/>
      </w:r>
      <w:r w:rsidRPr="00D67335">
        <w:rPr>
          <w:color w:val="auto"/>
        </w:rPr>
        <w:instrText xml:space="preserve"> SEQ Table \* ARABIC </w:instrText>
      </w:r>
      <w:r w:rsidRPr="00D67335">
        <w:rPr>
          <w:color w:val="auto"/>
        </w:rPr>
        <w:fldChar w:fldCharType="separate"/>
      </w:r>
      <w:r w:rsidR="00B91CD4">
        <w:rPr>
          <w:noProof/>
          <w:color w:val="auto"/>
        </w:rPr>
        <w:t>11</w:t>
      </w:r>
      <w:r w:rsidRPr="00D67335">
        <w:rPr>
          <w:color w:val="auto"/>
        </w:rPr>
        <w:fldChar w:fldCharType="end"/>
      </w:r>
    </w:p>
    <w:tbl>
      <w:tblPr>
        <w:tblStyle w:val="LightShading-Accent5"/>
        <w:tblW w:w="8869" w:type="dxa"/>
        <w:tblLook w:val="04A0" w:firstRow="1" w:lastRow="0" w:firstColumn="1" w:lastColumn="0" w:noHBand="0" w:noVBand="1"/>
      </w:tblPr>
      <w:tblGrid>
        <w:gridCol w:w="1254"/>
        <w:gridCol w:w="1286"/>
        <w:gridCol w:w="1217"/>
        <w:gridCol w:w="940"/>
        <w:gridCol w:w="764"/>
        <w:gridCol w:w="940"/>
        <w:gridCol w:w="764"/>
        <w:gridCol w:w="940"/>
        <w:gridCol w:w="764"/>
      </w:tblGrid>
      <w:tr w:rsidR="00D67335" w:rsidRPr="00D67335" w:rsidTr="00D67335">
        <w:trPr>
          <w:cnfStyle w:val="100000000000" w:firstRow="1" w:lastRow="0" w:firstColumn="0" w:lastColumn="0" w:oddVBand="0" w:evenVBand="0" w:oddHBand="0"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center"/>
              <w:rPr>
                <w:rFonts w:eastAsia="Times New Roman" w:cs="Times New Roman"/>
                <w:bCs w:val="0"/>
              </w:rPr>
            </w:pPr>
          </w:p>
        </w:tc>
        <w:tc>
          <w:tcPr>
            <w:tcW w:w="1286" w:type="dxa"/>
            <w:noWrap/>
            <w:hideMark/>
          </w:tcPr>
          <w:p w:rsidR="007E762D" w:rsidRPr="00D67335" w:rsidRDefault="007E762D" w:rsidP="00EB01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D67335">
              <w:rPr>
                <w:rFonts w:eastAsia="Times New Roman" w:cs="Times New Roman"/>
                <w:bCs w:val="0"/>
              </w:rPr>
              <w:t>Households</w:t>
            </w:r>
          </w:p>
        </w:tc>
        <w:tc>
          <w:tcPr>
            <w:tcW w:w="1217" w:type="dxa"/>
            <w:hideMark/>
          </w:tcPr>
          <w:p w:rsidR="007E762D" w:rsidRPr="00D67335" w:rsidRDefault="007E762D" w:rsidP="00EB01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D67335">
              <w:rPr>
                <w:rFonts w:eastAsia="Times New Roman" w:cs="Times New Roman"/>
                <w:bCs w:val="0"/>
              </w:rPr>
              <w:t>Adult</w:t>
            </w:r>
            <w:r w:rsidRPr="00D67335">
              <w:rPr>
                <w:rFonts w:eastAsia="Times New Roman" w:cs="Times New Roman"/>
                <w:bCs w:val="0"/>
              </w:rPr>
              <w:br/>
              <w:t>Population</w:t>
            </w:r>
          </w:p>
        </w:tc>
        <w:tc>
          <w:tcPr>
            <w:tcW w:w="1704" w:type="dxa"/>
            <w:gridSpan w:val="2"/>
            <w:hideMark/>
          </w:tcPr>
          <w:p w:rsidR="007E762D" w:rsidRPr="00D67335" w:rsidRDefault="007E762D" w:rsidP="00EB01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D67335">
              <w:rPr>
                <w:rFonts w:eastAsia="Times New Roman" w:cs="Times New Roman"/>
                <w:bCs w:val="0"/>
              </w:rPr>
              <w:t xml:space="preserve">Household Has </w:t>
            </w:r>
            <w:r w:rsidRPr="00D67335">
              <w:rPr>
                <w:rFonts w:eastAsia="Times New Roman" w:cs="Times New Roman"/>
                <w:bCs w:val="0"/>
              </w:rPr>
              <w:br/>
              <w:t>Personal Computer</w:t>
            </w:r>
          </w:p>
        </w:tc>
        <w:tc>
          <w:tcPr>
            <w:tcW w:w="1704" w:type="dxa"/>
            <w:gridSpan w:val="2"/>
            <w:hideMark/>
          </w:tcPr>
          <w:p w:rsidR="007E762D" w:rsidRPr="00D67335" w:rsidRDefault="007E762D" w:rsidP="00EB01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D67335">
              <w:rPr>
                <w:rFonts w:eastAsia="Times New Roman" w:cs="Times New Roman"/>
                <w:bCs w:val="0"/>
              </w:rPr>
              <w:t xml:space="preserve">Adult Population Has </w:t>
            </w:r>
            <w:r w:rsidRPr="00D67335">
              <w:rPr>
                <w:rFonts w:eastAsia="Times New Roman" w:cs="Times New Roman"/>
                <w:bCs w:val="0"/>
              </w:rPr>
              <w:br/>
              <w:t>Internet Access</w:t>
            </w:r>
          </w:p>
        </w:tc>
        <w:tc>
          <w:tcPr>
            <w:tcW w:w="1704" w:type="dxa"/>
            <w:gridSpan w:val="2"/>
            <w:hideMark/>
          </w:tcPr>
          <w:p w:rsidR="007E762D" w:rsidRPr="00D67335" w:rsidRDefault="007E762D" w:rsidP="00EB017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D67335">
              <w:rPr>
                <w:rFonts w:eastAsia="Times New Roman" w:cs="Times New Roman"/>
                <w:bCs w:val="0"/>
              </w:rPr>
              <w:t xml:space="preserve">Adult Population </w:t>
            </w:r>
            <w:r w:rsidRPr="00D67335">
              <w:rPr>
                <w:rFonts w:eastAsia="Times New Roman" w:cs="Times New Roman"/>
                <w:bCs w:val="0"/>
              </w:rPr>
              <w:br/>
              <w:t xml:space="preserve">Has </w:t>
            </w:r>
            <w:r w:rsidRPr="00D67335">
              <w:rPr>
                <w:rFonts w:eastAsia="Times New Roman" w:cs="Times New Roman"/>
                <w:bCs w:val="0"/>
              </w:rPr>
              <w:br/>
              <w:t>Broadband at Home</w:t>
            </w:r>
          </w:p>
        </w:tc>
      </w:tr>
      <w:tr w:rsidR="007E762D" w:rsidRPr="00D67335" w:rsidTr="00D673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Barrow</w:t>
            </w:r>
          </w:p>
        </w:tc>
        <w:tc>
          <w:tcPr>
            <w:tcW w:w="1286"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24,665</w:t>
            </w:r>
          </w:p>
        </w:tc>
        <w:tc>
          <w:tcPr>
            <w:tcW w:w="1217"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51,890</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18,297</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74.2%</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44,078</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84.9%</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28,845</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55.6%</w:t>
            </w:r>
          </w:p>
        </w:tc>
      </w:tr>
      <w:tr w:rsidR="007E762D" w:rsidRPr="00D67335" w:rsidTr="00D67335">
        <w:trPr>
          <w:trHeight w:val="30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Clarke</w:t>
            </w:r>
          </w:p>
        </w:tc>
        <w:tc>
          <w:tcPr>
            <w:tcW w:w="1286"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46,279</w:t>
            </w:r>
          </w:p>
        </w:tc>
        <w:tc>
          <w:tcPr>
            <w:tcW w:w="1217"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98,393</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33,582</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72.6%</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84,446</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85.8%</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60,037</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61.0%</w:t>
            </w:r>
          </w:p>
        </w:tc>
      </w:tr>
      <w:tr w:rsidR="007E762D" w:rsidRPr="00D67335" w:rsidTr="00D673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Elbert</w:t>
            </w:r>
          </w:p>
        </w:tc>
        <w:tc>
          <w:tcPr>
            <w:tcW w:w="1286"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8,090</w:t>
            </w:r>
          </w:p>
        </w:tc>
        <w:tc>
          <w:tcPr>
            <w:tcW w:w="1217"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15,634</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4,520</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55.9%</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10,915</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69.8%</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5,429</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34.7%</w:t>
            </w:r>
          </w:p>
        </w:tc>
      </w:tr>
      <w:tr w:rsidR="007E762D" w:rsidRPr="00D67335" w:rsidTr="00D67335">
        <w:trPr>
          <w:trHeight w:val="30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Greene</w:t>
            </w:r>
          </w:p>
        </w:tc>
        <w:tc>
          <w:tcPr>
            <w:tcW w:w="1286"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6,791</w:t>
            </w:r>
          </w:p>
        </w:tc>
        <w:tc>
          <w:tcPr>
            <w:tcW w:w="1217"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13,295</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4,419</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65.1%</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10,143</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76.3%</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5,919</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44.5%</w:t>
            </w:r>
          </w:p>
        </w:tc>
      </w:tr>
      <w:tr w:rsidR="007E762D" w:rsidRPr="00D67335" w:rsidTr="00D673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Jackson</w:t>
            </w:r>
          </w:p>
        </w:tc>
        <w:tc>
          <w:tcPr>
            <w:tcW w:w="1286"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21,872</w:t>
            </w:r>
          </w:p>
        </w:tc>
        <w:tc>
          <w:tcPr>
            <w:tcW w:w="1217"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46,219</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15,859</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72.5%</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38,449</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83.2%</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23,969</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51.9%</w:t>
            </w:r>
          </w:p>
        </w:tc>
      </w:tr>
      <w:tr w:rsidR="007E762D" w:rsidRPr="00D67335" w:rsidTr="00D67335">
        <w:trPr>
          <w:trHeight w:val="30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Jasper</w:t>
            </w:r>
          </w:p>
        </w:tc>
        <w:tc>
          <w:tcPr>
            <w:tcW w:w="1286"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5,039</w:t>
            </w:r>
          </w:p>
        </w:tc>
        <w:tc>
          <w:tcPr>
            <w:tcW w:w="1217"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10,540</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2,984</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59.2%</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7,611</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72.2%</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3,922</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37.2%</w:t>
            </w:r>
          </w:p>
        </w:tc>
      </w:tr>
      <w:tr w:rsidR="007E762D" w:rsidRPr="00D67335" w:rsidTr="00D673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Madison</w:t>
            </w:r>
          </w:p>
        </w:tc>
        <w:tc>
          <w:tcPr>
            <w:tcW w:w="1286"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10,697</w:t>
            </w:r>
          </w:p>
        </w:tc>
        <w:tc>
          <w:tcPr>
            <w:tcW w:w="1217"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22,097</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6,814</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63.7%</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16,711</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75.6%</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8,765</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39.7%</w:t>
            </w:r>
          </w:p>
        </w:tc>
      </w:tr>
      <w:tr w:rsidR="007E762D" w:rsidRPr="00D67335" w:rsidTr="00D67335">
        <w:trPr>
          <w:trHeight w:val="30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Morgan</w:t>
            </w:r>
          </w:p>
        </w:tc>
        <w:tc>
          <w:tcPr>
            <w:tcW w:w="1286"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6,759</w:t>
            </w:r>
          </w:p>
        </w:tc>
        <w:tc>
          <w:tcPr>
            <w:tcW w:w="1217"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13,873</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4,790</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70.9%</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11,372</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82.0%</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6,489</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46.8%</w:t>
            </w:r>
          </w:p>
        </w:tc>
      </w:tr>
      <w:tr w:rsidR="007E762D" w:rsidRPr="00D67335" w:rsidTr="00D673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Newton</w:t>
            </w:r>
          </w:p>
        </w:tc>
        <w:tc>
          <w:tcPr>
            <w:tcW w:w="1286"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34,960</w:t>
            </w:r>
          </w:p>
        </w:tc>
        <w:tc>
          <w:tcPr>
            <w:tcW w:w="1217"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73,724</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26,553</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76.0%</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63,336</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85.9%</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43,435</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58.9%</w:t>
            </w:r>
          </w:p>
        </w:tc>
      </w:tr>
      <w:tr w:rsidR="007E762D" w:rsidRPr="00D67335" w:rsidTr="00D67335">
        <w:trPr>
          <w:trHeight w:val="30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Oconee</w:t>
            </w:r>
          </w:p>
        </w:tc>
        <w:tc>
          <w:tcPr>
            <w:tcW w:w="1286"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12,062</w:t>
            </w:r>
          </w:p>
        </w:tc>
        <w:tc>
          <w:tcPr>
            <w:tcW w:w="1217"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25,183</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10,167</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84.3%</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23,009</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91.4%</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17,288</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68.6%</w:t>
            </w:r>
          </w:p>
        </w:tc>
      </w:tr>
      <w:tr w:rsidR="007E762D" w:rsidRPr="00D67335" w:rsidTr="00D673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Oglethorpe</w:t>
            </w:r>
          </w:p>
        </w:tc>
        <w:tc>
          <w:tcPr>
            <w:tcW w:w="1286"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5,701</w:t>
            </w:r>
          </w:p>
        </w:tc>
        <w:tc>
          <w:tcPr>
            <w:tcW w:w="1217"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11,679</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3,559</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62.4%</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8,666</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74.2%</w:t>
            </w:r>
          </w:p>
        </w:tc>
        <w:tc>
          <w:tcPr>
            <w:tcW w:w="940"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4,504</w:t>
            </w:r>
          </w:p>
        </w:tc>
        <w:tc>
          <w:tcPr>
            <w:tcW w:w="764" w:type="dxa"/>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38.6%</w:t>
            </w:r>
          </w:p>
        </w:tc>
      </w:tr>
      <w:tr w:rsidR="007E762D" w:rsidRPr="00D67335" w:rsidTr="00D67335">
        <w:trPr>
          <w:trHeight w:val="300"/>
        </w:trPr>
        <w:tc>
          <w:tcPr>
            <w:cnfStyle w:val="001000000000" w:firstRow="0" w:lastRow="0" w:firstColumn="1" w:lastColumn="0" w:oddVBand="0" w:evenVBand="0" w:oddHBand="0" w:evenHBand="0" w:firstRowFirstColumn="0" w:firstRowLastColumn="0" w:lastRowFirstColumn="0" w:lastRowLastColumn="0"/>
            <w:tcW w:w="1254" w:type="dxa"/>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Walton</w:t>
            </w:r>
          </w:p>
        </w:tc>
        <w:tc>
          <w:tcPr>
            <w:tcW w:w="1286"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30,181</w:t>
            </w:r>
          </w:p>
        </w:tc>
        <w:tc>
          <w:tcPr>
            <w:tcW w:w="1217"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63,416</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22,135</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73.3%</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53,930</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85.0%</w:t>
            </w:r>
          </w:p>
        </w:tc>
        <w:tc>
          <w:tcPr>
            <w:tcW w:w="940"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34,615</w:t>
            </w:r>
          </w:p>
        </w:tc>
        <w:tc>
          <w:tcPr>
            <w:tcW w:w="764" w:type="dxa"/>
            <w:noWrap/>
            <w:hideMark/>
          </w:tcPr>
          <w:p w:rsidR="007E762D" w:rsidRPr="00D67335" w:rsidRDefault="007E762D"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54.6%</w:t>
            </w:r>
          </w:p>
        </w:tc>
      </w:tr>
      <w:tr w:rsidR="007E762D" w:rsidRPr="00D67335" w:rsidTr="00D673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4" w:type="dxa"/>
            <w:tcBorders>
              <w:bottom w:val="single" w:sz="8" w:space="0" w:color="4BACC6" w:themeColor="accent5"/>
            </w:tcBorders>
            <w:noWrap/>
            <w:hideMark/>
          </w:tcPr>
          <w:p w:rsidR="007E762D" w:rsidRPr="00D67335" w:rsidRDefault="007E762D" w:rsidP="00EB0173">
            <w:pPr>
              <w:jc w:val="both"/>
              <w:rPr>
                <w:rFonts w:eastAsia="Times New Roman" w:cs="Times New Roman"/>
                <w:color w:val="000000"/>
              </w:rPr>
            </w:pPr>
            <w:r w:rsidRPr="00D67335">
              <w:rPr>
                <w:rFonts w:eastAsia="Times New Roman" w:cs="Times New Roman"/>
                <w:color w:val="000000"/>
              </w:rPr>
              <w:t>REGION</w:t>
            </w:r>
          </w:p>
        </w:tc>
        <w:tc>
          <w:tcPr>
            <w:tcW w:w="1286" w:type="dxa"/>
            <w:tcBorders>
              <w:bottom w:val="single" w:sz="8" w:space="0" w:color="4BACC6" w:themeColor="accent5"/>
            </w:tcBorders>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213,096</w:t>
            </w:r>
          </w:p>
        </w:tc>
        <w:tc>
          <w:tcPr>
            <w:tcW w:w="1217" w:type="dxa"/>
            <w:tcBorders>
              <w:bottom w:val="single" w:sz="8" w:space="0" w:color="4BACC6" w:themeColor="accent5"/>
            </w:tcBorders>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445,943</w:t>
            </w:r>
          </w:p>
        </w:tc>
        <w:tc>
          <w:tcPr>
            <w:tcW w:w="940" w:type="dxa"/>
            <w:tcBorders>
              <w:bottom w:val="single" w:sz="8" w:space="0" w:color="4BACC6" w:themeColor="accent5"/>
            </w:tcBorders>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153,679</w:t>
            </w:r>
          </w:p>
        </w:tc>
        <w:tc>
          <w:tcPr>
            <w:tcW w:w="764" w:type="dxa"/>
            <w:tcBorders>
              <w:bottom w:val="single" w:sz="8" w:space="0" w:color="4BACC6" w:themeColor="accent5"/>
            </w:tcBorders>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72.1%</w:t>
            </w:r>
          </w:p>
        </w:tc>
        <w:tc>
          <w:tcPr>
            <w:tcW w:w="940" w:type="dxa"/>
            <w:tcBorders>
              <w:bottom w:val="single" w:sz="8" w:space="0" w:color="4BACC6" w:themeColor="accent5"/>
            </w:tcBorders>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372,666</w:t>
            </w:r>
          </w:p>
        </w:tc>
        <w:tc>
          <w:tcPr>
            <w:tcW w:w="764" w:type="dxa"/>
            <w:tcBorders>
              <w:bottom w:val="single" w:sz="8" w:space="0" w:color="4BACC6" w:themeColor="accent5"/>
            </w:tcBorders>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83.6%</w:t>
            </w:r>
          </w:p>
        </w:tc>
        <w:tc>
          <w:tcPr>
            <w:tcW w:w="940" w:type="dxa"/>
            <w:tcBorders>
              <w:bottom w:val="single" w:sz="8" w:space="0" w:color="4BACC6" w:themeColor="accent5"/>
            </w:tcBorders>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243,217</w:t>
            </w:r>
          </w:p>
        </w:tc>
        <w:tc>
          <w:tcPr>
            <w:tcW w:w="764" w:type="dxa"/>
            <w:tcBorders>
              <w:bottom w:val="single" w:sz="8" w:space="0" w:color="4BACC6" w:themeColor="accent5"/>
            </w:tcBorders>
            <w:noWrap/>
            <w:hideMark/>
          </w:tcPr>
          <w:p w:rsidR="007E762D" w:rsidRPr="00D67335" w:rsidRDefault="007E762D"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67335">
              <w:rPr>
                <w:rFonts w:eastAsia="Times New Roman" w:cs="Times New Roman"/>
                <w:color w:val="000000"/>
              </w:rPr>
              <w:t>54.5%</w:t>
            </w:r>
          </w:p>
        </w:tc>
      </w:tr>
      <w:tr w:rsidR="00D67335" w:rsidRPr="00D67335" w:rsidTr="00D67335">
        <w:trPr>
          <w:trHeight w:val="300"/>
        </w:trPr>
        <w:tc>
          <w:tcPr>
            <w:cnfStyle w:val="001000000000" w:firstRow="0" w:lastRow="0" w:firstColumn="1" w:lastColumn="0" w:oddVBand="0" w:evenVBand="0" w:oddHBand="0" w:evenHBand="0" w:firstRowFirstColumn="0" w:firstRowLastColumn="0" w:lastRowFirstColumn="0" w:lastRowLastColumn="0"/>
            <w:tcW w:w="8869" w:type="dxa"/>
            <w:gridSpan w:val="9"/>
            <w:tcBorders>
              <w:top w:val="single" w:sz="8" w:space="0" w:color="4BACC6" w:themeColor="accent5"/>
              <w:bottom w:val="nil"/>
            </w:tcBorders>
            <w:noWrap/>
          </w:tcPr>
          <w:p w:rsidR="00D67335" w:rsidRPr="00D67335" w:rsidRDefault="00D67335" w:rsidP="00EB0173">
            <w:pPr>
              <w:jc w:val="both"/>
              <w:rPr>
                <w:rFonts w:eastAsia="Times New Roman" w:cs="Times New Roman"/>
                <w:color w:val="000000"/>
              </w:rPr>
            </w:pPr>
            <w:r w:rsidRPr="00D67335">
              <w:rPr>
                <w:b w:val="0"/>
                <w:sz w:val="18"/>
                <w:szCs w:val="18"/>
              </w:rPr>
              <w:t>Source:  ESRI Business Analyst Online (BAO) “Electronics and Internet Market Potential” report</w:t>
            </w:r>
          </w:p>
        </w:tc>
      </w:tr>
    </w:tbl>
    <w:p w:rsidR="00D67335" w:rsidRDefault="00D67335" w:rsidP="00EB0173">
      <w:pPr>
        <w:spacing w:line="240" w:lineRule="auto"/>
        <w:jc w:val="both"/>
        <w:rPr>
          <w:sz w:val="24"/>
          <w:szCs w:val="24"/>
        </w:rPr>
      </w:pPr>
    </w:p>
    <w:p w:rsidR="00D67335" w:rsidRDefault="00D67335" w:rsidP="00EB0173">
      <w:pPr>
        <w:jc w:val="both"/>
      </w:pPr>
      <w:r>
        <w:br w:type="page"/>
      </w:r>
    </w:p>
    <w:p w:rsidR="007E762D" w:rsidRPr="007E762D" w:rsidRDefault="00BB4581" w:rsidP="00EB0173">
      <w:pPr>
        <w:spacing w:line="240" w:lineRule="auto"/>
        <w:jc w:val="both"/>
        <w:rPr>
          <w:sz w:val="24"/>
          <w:szCs w:val="24"/>
        </w:rPr>
      </w:pPr>
      <w:r>
        <w:rPr>
          <w:sz w:val="24"/>
          <w:szCs w:val="24"/>
        </w:rPr>
        <w:lastRenderedPageBreak/>
        <w:t>Household has Personal Computer</w:t>
      </w:r>
    </w:p>
    <w:p w:rsidR="00BB4581" w:rsidRPr="00BB4581" w:rsidRDefault="00BB4581" w:rsidP="00EB0173">
      <w:pPr>
        <w:pStyle w:val="Caption"/>
        <w:keepNext/>
        <w:jc w:val="both"/>
        <w:rPr>
          <w:color w:val="auto"/>
        </w:rPr>
      </w:pPr>
      <w:r w:rsidRPr="00BB4581">
        <w:rPr>
          <w:color w:val="auto"/>
        </w:rPr>
        <w:t xml:space="preserve">Figure </w:t>
      </w:r>
      <w:r w:rsidRPr="00BB4581">
        <w:rPr>
          <w:color w:val="auto"/>
        </w:rPr>
        <w:fldChar w:fldCharType="begin"/>
      </w:r>
      <w:r w:rsidRPr="00BB4581">
        <w:rPr>
          <w:color w:val="auto"/>
        </w:rPr>
        <w:instrText xml:space="preserve"> SEQ Figure \* ARABIC </w:instrText>
      </w:r>
      <w:r w:rsidRPr="00BB4581">
        <w:rPr>
          <w:color w:val="auto"/>
        </w:rPr>
        <w:fldChar w:fldCharType="separate"/>
      </w:r>
      <w:r w:rsidR="00B91CD4">
        <w:rPr>
          <w:noProof/>
          <w:color w:val="auto"/>
        </w:rPr>
        <w:t>3</w:t>
      </w:r>
      <w:r w:rsidRPr="00BB4581">
        <w:rPr>
          <w:color w:val="auto"/>
        </w:rPr>
        <w:fldChar w:fldCharType="end"/>
      </w:r>
    </w:p>
    <w:p w:rsidR="007E762D" w:rsidRPr="007E762D" w:rsidRDefault="007E762D" w:rsidP="00EB0173">
      <w:pPr>
        <w:spacing w:line="240" w:lineRule="auto"/>
        <w:jc w:val="both"/>
        <w:rPr>
          <w:sz w:val="24"/>
          <w:szCs w:val="24"/>
        </w:rPr>
      </w:pPr>
      <w:r w:rsidRPr="007E762D">
        <w:rPr>
          <w:noProof/>
          <w:sz w:val="24"/>
          <w:szCs w:val="24"/>
        </w:rPr>
        <w:drawing>
          <wp:inline distT="0" distB="0" distL="0" distR="0" wp14:anchorId="404BC850" wp14:editId="36507875">
            <wp:extent cx="5943600" cy="4314190"/>
            <wp:effectExtent l="0" t="0" r="19050"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E762D" w:rsidRPr="00BB4581" w:rsidRDefault="007E762D" w:rsidP="00EB0173">
      <w:pPr>
        <w:spacing w:line="240" w:lineRule="auto"/>
        <w:jc w:val="both"/>
        <w:rPr>
          <w:sz w:val="18"/>
          <w:szCs w:val="18"/>
        </w:rPr>
      </w:pPr>
      <w:r w:rsidRPr="00BB4581">
        <w:rPr>
          <w:sz w:val="18"/>
          <w:szCs w:val="18"/>
        </w:rPr>
        <w:t>Source:  ESRI Business Analyst Online (BAO) “Electronics and Internet Market Potential” report for the region.</w:t>
      </w:r>
    </w:p>
    <w:p w:rsidR="00BB4581" w:rsidRDefault="00BB4581" w:rsidP="00EB0173">
      <w:pPr>
        <w:jc w:val="both"/>
        <w:rPr>
          <w:sz w:val="24"/>
          <w:szCs w:val="24"/>
        </w:rPr>
      </w:pPr>
      <w:r>
        <w:rPr>
          <w:sz w:val="24"/>
          <w:szCs w:val="24"/>
        </w:rPr>
        <w:br w:type="page"/>
      </w:r>
    </w:p>
    <w:p w:rsidR="007E762D" w:rsidRPr="007E762D" w:rsidRDefault="007E762D" w:rsidP="00EB0173">
      <w:pPr>
        <w:spacing w:line="240" w:lineRule="auto"/>
        <w:jc w:val="both"/>
        <w:rPr>
          <w:sz w:val="24"/>
          <w:szCs w:val="24"/>
        </w:rPr>
      </w:pPr>
      <w:r w:rsidRPr="007E762D">
        <w:rPr>
          <w:sz w:val="24"/>
          <w:szCs w:val="24"/>
        </w:rPr>
        <w:lastRenderedPageBreak/>
        <w:t>Adult</w:t>
      </w:r>
      <w:r w:rsidR="00BB4581">
        <w:rPr>
          <w:sz w:val="24"/>
          <w:szCs w:val="24"/>
        </w:rPr>
        <w:t xml:space="preserve"> Population has Internet Access</w:t>
      </w:r>
    </w:p>
    <w:p w:rsidR="00BB4581" w:rsidRPr="00BB4581" w:rsidRDefault="00BB4581" w:rsidP="00EB0173">
      <w:pPr>
        <w:pStyle w:val="Caption"/>
        <w:keepNext/>
        <w:jc w:val="both"/>
        <w:rPr>
          <w:color w:val="auto"/>
        </w:rPr>
      </w:pPr>
      <w:r w:rsidRPr="00BB4581">
        <w:rPr>
          <w:color w:val="auto"/>
        </w:rPr>
        <w:t xml:space="preserve">Figure </w:t>
      </w:r>
      <w:r w:rsidRPr="00BB4581">
        <w:rPr>
          <w:color w:val="auto"/>
        </w:rPr>
        <w:fldChar w:fldCharType="begin"/>
      </w:r>
      <w:r w:rsidRPr="00BB4581">
        <w:rPr>
          <w:color w:val="auto"/>
        </w:rPr>
        <w:instrText xml:space="preserve"> SEQ Figure \* ARABIC </w:instrText>
      </w:r>
      <w:r w:rsidRPr="00BB4581">
        <w:rPr>
          <w:color w:val="auto"/>
        </w:rPr>
        <w:fldChar w:fldCharType="separate"/>
      </w:r>
      <w:r w:rsidR="00B91CD4">
        <w:rPr>
          <w:noProof/>
          <w:color w:val="auto"/>
        </w:rPr>
        <w:t>4</w:t>
      </w:r>
      <w:r w:rsidRPr="00BB4581">
        <w:rPr>
          <w:color w:val="auto"/>
        </w:rPr>
        <w:fldChar w:fldCharType="end"/>
      </w:r>
    </w:p>
    <w:p w:rsidR="007E762D" w:rsidRPr="007E762D" w:rsidRDefault="007E762D" w:rsidP="00EB0173">
      <w:pPr>
        <w:spacing w:line="240" w:lineRule="auto"/>
        <w:jc w:val="both"/>
        <w:rPr>
          <w:sz w:val="24"/>
          <w:szCs w:val="24"/>
        </w:rPr>
      </w:pPr>
      <w:r w:rsidRPr="007E762D">
        <w:rPr>
          <w:noProof/>
          <w:sz w:val="24"/>
          <w:szCs w:val="24"/>
        </w:rPr>
        <w:drawing>
          <wp:inline distT="0" distB="0" distL="0" distR="0" wp14:anchorId="482A00B6" wp14:editId="0E6A28A7">
            <wp:extent cx="5943600" cy="4314190"/>
            <wp:effectExtent l="0" t="0" r="19050"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E762D" w:rsidRPr="00BB4581" w:rsidRDefault="007E762D" w:rsidP="00EB0173">
      <w:pPr>
        <w:spacing w:line="240" w:lineRule="auto"/>
        <w:jc w:val="both"/>
        <w:rPr>
          <w:sz w:val="18"/>
          <w:szCs w:val="18"/>
        </w:rPr>
      </w:pPr>
      <w:r w:rsidRPr="00BB4581">
        <w:rPr>
          <w:sz w:val="18"/>
          <w:szCs w:val="18"/>
        </w:rPr>
        <w:t>Source:  ESRI Business Analyst Online (BAO) “Electronics and Internet Market Potential” report for the region.</w:t>
      </w:r>
    </w:p>
    <w:p w:rsidR="00BB4581" w:rsidRDefault="00BB4581" w:rsidP="00EB0173">
      <w:pPr>
        <w:jc w:val="both"/>
        <w:rPr>
          <w:sz w:val="24"/>
          <w:szCs w:val="24"/>
        </w:rPr>
      </w:pPr>
      <w:r>
        <w:rPr>
          <w:sz w:val="24"/>
          <w:szCs w:val="24"/>
        </w:rPr>
        <w:br w:type="page"/>
      </w:r>
    </w:p>
    <w:p w:rsidR="007E762D" w:rsidRPr="007E762D" w:rsidRDefault="007E762D" w:rsidP="00EB0173">
      <w:pPr>
        <w:spacing w:line="240" w:lineRule="auto"/>
        <w:jc w:val="both"/>
        <w:rPr>
          <w:sz w:val="24"/>
          <w:szCs w:val="24"/>
        </w:rPr>
      </w:pPr>
      <w:r w:rsidRPr="007E762D">
        <w:rPr>
          <w:sz w:val="24"/>
          <w:szCs w:val="24"/>
        </w:rPr>
        <w:lastRenderedPageBreak/>
        <w:t>Adult Populati</w:t>
      </w:r>
      <w:r w:rsidR="00BB4581">
        <w:rPr>
          <w:sz w:val="24"/>
          <w:szCs w:val="24"/>
        </w:rPr>
        <w:t>on has Broadband Access at Home</w:t>
      </w:r>
    </w:p>
    <w:p w:rsidR="00BB4581" w:rsidRPr="00BB4581" w:rsidRDefault="00BB4581" w:rsidP="00EB0173">
      <w:pPr>
        <w:pStyle w:val="Caption"/>
        <w:keepNext/>
        <w:jc w:val="both"/>
        <w:rPr>
          <w:color w:val="auto"/>
        </w:rPr>
      </w:pPr>
      <w:r w:rsidRPr="00BB4581">
        <w:rPr>
          <w:color w:val="auto"/>
        </w:rPr>
        <w:t xml:space="preserve">Figure </w:t>
      </w:r>
      <w:r w:rsidRPr="00BB4581">
        <w:rPr>
          <w:color w:val="auto"/>
        </w:rPr>
        <w:fldChar w:fldCharType="begin"/>
      </w:r>
      <w:r w:rsidRPr="00BB4581">
        <w:rPr>
          <w:color w:val="auto"/>
        </w:rPr>
        <w:instrText xml:space="preserve"> SEQ Figure \* ARABIC </w:instrText>
      </w:r>
      <w:r w:rsidRPr="00BB4581">
        <w:rPr>
          <w:color w:val="auto"/>
        </w:rPr>
        <w:fldChar w:fldCharType="separate"/>
      </w:r>
      <w:r w:rsidR="00B91CD4">
        <w:rPr>
          <w:noProof/>
          <w:color w:val="auto"/>
        </w:rPr>
        <w:t>5</w:t>
      </w:r>
      <w:r w:rsidRPr="00BB4581">
        <w:rPr>
          <w:color w:val="auto"/>
        </w:rPr>
        <w:fldChar w:fldCharType="end"/>
      </w:r>
    </w:p>
    <w:p w:rsidR="007E762D" w:rsidRPr="007E762D" w:rsidRDefault="007E762D" w:rsidP="00EB0173">
      <w:pPr>
        <w:spacing w:line="240" w:lineRule="auto"/>
        <w:jc w:val="both"/>
        <w:rPr>
          <w:sz w:val="24"/>
          <w:szCs w:val="24"/>
        </w:rPr>
      </w:pPr>
      <w:r w:rsidRPr="007E762D">
        <w:rPr>
          <w:noProof/>
          <w:sz w:val="24"/>
          <w:szCs w:val="24"/>
        </w:rPr>
        <w:drawing>
          <wp:inline distT="0" distB="0" distL="0" distR="0" wp14:anchorId="19A63CAD" wp14:editId="1972808F">
            <wp:extent cx="5943600" cy="4314190"/>
            <wp:effectExtent l="0" t="0" r="19050"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B4581" w:rsidRDefault="007E762D" w:rsidP="00EB0173">
      <w:pPr>
        <w:spacing w:line="240" w:lineRule="auto"/>
        <w:jc w:val="both"/>
        <w:rPr>
          <w:sz w:val="18"/>
          <w:szCs w:val="18"/>
        </w:rPr>
      </w:pPr>
      <w:r w:rsidRPr="00BB4581">
        <w:rPr>
          <w:sz w:val="18"/>
          <w:szCs w:val="18"/>
        </w:rPr>
        <w:t>Source:  ESRI Business Analyst Online (BAO) “Electronics and Internet Market Potential” report for the region.</w:t>
      </w:r>
    </w:p>
    <w:p w:rsidR="00BB4581" w:rsidRDefault="00BB4581" w:rsidP="00EB0173">
      <w:pPr>
        <w:jc w:val="both"/>
        <w:rPr>
          <w:sz w:val="18"/>
          <w:szCs w:val="18"/>
        </w:rPr>
        <w:sectPr w:rsidR="00BB4581" w:rsidSect="0041586B">
          <w:headerReference w:type="even" r:id="rId38"/>
          <w:headerReference w:type="default" r:id="rId39"/>
          <w:headerReference w:type="first" r:id="rId40"/>
          <w:pgSz w:w="12240" w:h="15840"/>
          <w:pgMar w:top="1440" w:right="1440" w:bottom="1440" w:left="1440" w:header="720" w:footer="720" w:gutter="0"/>
          <w:cols w:space="720"/>
          <w:docGrid w:linePitch="360"/>
        </w:sectPr>
      </w:pPr>
    </w:p>
    <w:p w:rsidR="00BB4581" w:rsidRPr="004F67B1" w:rsidRDefault="00BB4581" w:rsidP="00F018BC">
      <w:pPr>
        <w:pStyle w:val="Heading1"/>
      </w:pPr>
      <w:bookmarkStart w:id="20" w:name="_Toc395275938"/>
      <w:r w:rsidRPr="004F67B1">
        <w:lastRenderedPageBreak/>
        <w:t>Infrastructure</w:t>
      </w:r>
      <w:bookmarkEnd w:id="20"/>
    </w:p>
    <w:p w:rsidR="00BB4581" w:rsidRPr="00F018BC" w:rsidRDefault="00BB4581" w:rsidP="00F018BC">
      <w:pPr>
        <w:pStyle w:val="Heading2"/>
      </w:pPr>
      <w:bookmarkStart w:id="21" w:name="_Toc395275939"/>
      <w:r w:rsidRPr="00F018BC">
        <w:t>Broadband Service Providers</w:t>
      </w:r>
      <w:bookmarkEnd w:id="21"/>
      <w:r w:rsidRPr="00F018BC">
        <w:t xml:space="preserve"> </w:t>
      </w:r>
    </w:p>
    <w:p w:rsidR="00BB4581" w:rsidRPr="00BB4581" w:rsidRDefault="00BB4581" w:rsidP="00EB0173">
      <w:pPr>
        <w:spacing w:line="240" w:lineRule="auto"/>
        <w:jc w:val="both"/>
        <w:rPr>
          <w:sz w:val="24"/>
          <w:szCs w:val="24"/>
        </w:rPr>
      </w:pPr>
      <w:r w:rsidRPr="00BB4581">
        <w:rPr>
          <w:sz w:val="24"/>
          <w:szCs w:val="24"/>
        </w:rPr>
        <w:t xml:space="preserve">There are fifteen (15) known broadband internet services providers (ISPs) within Northeast Georgia. Of these, two are municipal governments (Elberton and Monroe). Though located in Hart County outside of the Northeast Georgia region, a small portion of the region is covered by Hart Telephone. </w:t>
      </w:r>
    </w:p>
    <w:p w:rsidR="00672A78" w:rsidRPr="00672A78" w:rsidRDefault="00672A78" w:rsidP="00672A78">
      <w:pPr>
        <w:pStyle w:val="Caption"/>
        <w:keepNext/>
        <w:rPr>
          <w:color w:val="auto"/>
        </w:rPr>
      </w:pPr>
      <w:r w:rsidRPr="00672A78">
        <w:rPr>
          <w:color w:val="auto"/>
        </w:rPr>
        <w:t xml:space="preserve">Table </w:t>
      </w:r>
      <w:r w:rsidRPr="00672A78">
        <w:rPr>
          <w:color w:val="auto"/>
        </w:rPr>
        <w:fldChar w:fldCharType="begin"/>
      </w:r>
      <w:r w:rsidRPr="00672A78">
        <w:rPr>
          <w:color w:val="auto"/>
        </w:rPr>
        <w:instrText xml:space="preserve"> SEQ Table \* ARABIC </w:instrText>
      </w:r>
      <w:r w:rsidRPr="00672A78">
        <w:rPr>
          <w:color w:val="auto"/>
        </w:rPr>
        <w:fldChar w:fldCharType="separate"/>
      </w:r>
      <w:r w:rsidR="00B91CD4">
        <w:rPr>
          <w:noProof/>
          <w:color w:val="auto"/>
        </w:rPr>
        <w:t>12</w:t>
      </w:r>
      <w:r w:rsidRPr="00672A78">
        <w:rPr>
          <w:color w:val="auto"/>
        </w:rPr>
        <w:fldChar w:fldCharType="end"/>
      </w:r>
    </w:p>
    <w:tbl>
      <w:tblPr>
        <w:tblStyle w:val="LightShading-Accent5"/>
        <w:tblW w:w="4760" w:type="dxa"/>
        <w:tblLook w:val="04A0" w:firstRow="1" w:lastRow="0" w:firstColumn="1" w:lastColumn="0" w:noHBand="0" w:noVBand="1"/>
      </w:tblPr>
      <w:tblGrid>
        <w:gridCol w:w="2680"/>
        <w:gridCol w:w="2080"/>
      </w:tblGrid>
      <w:tr w:rsidR="004F67B1" w:rsidRPr="004F67B1" w:rsidTr="004F67B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Cs w:val="0"/>
              </w:rPr>
            </w:pPr>
            <w:r w:rsidRPr="004F67B1">
              <w:rPr>
                <w:rFonts w:eastAsia="Times New Roman" w:cs="Times New Roman"/>
                <w:bCs w:val="0"/>
              </w:rPr>
              <w:t>Provider</w:t>
            </w:r>
          </w:p>
        </w:tc>
        <w:tc>
          <w:tcPr>
            <w:tcW w:w="2080" w:type="dxa"/>
            <w:noWrap/>
            <w:hideMark/>
          </w:tcPr>
          <w:p w:rsidR="00BB4581" w:rsidRPr="004F67B1" w:rsidRDefault="00BB4581"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4F67B1">
              <w:rPr>
                <w:rFonts w:eastAsia="Times New Roman" w:cs="Times New Roman"/>
                <w:bCs w:val="0"/>
              </w:rPr>
              <w:t>Location</w:t>
            </w:r>
          </w:p>
        </w:tc>
      </w:tr>
      <w:tr w:rsidR="00BB4581" w:rsidRPr="004F67B1" w:rsidTr="004F67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r w:rsidRPr="004F67B1">
              <w:rPr>
                <w:rFonts w:eastAsia="Times New Roman" w:cs="Times New Roman"/>
                <w:b w:val="0"/>
                <w:color w:val="000000"/>
              </w:rPr>
              <w:t>AT&amp;T</w:t>
            </w:r>
          </w:p>
        </w:tc>
        <w:tc>
          <w:tcPr>
            <w:tcW w:w="2080"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Dallas, TX</w:t>
            </w:r>
          </w:p>
        </w:tc>
      </w:tr>
      <w:tr w:rsidR="00BB4581" w:rsidRPr="004F67B1" w:rsidTr="004F67B1">
        <w:trPr>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r w:rsidRPr="004F67B1">
              <w:rPr>
                <w:rFonts w:eastAsia="Times New Roman" w:cs="Times New Roman"/>
                <w:b w:val="0"/>
                <w:color w:val="000000"/>
              </w:rPr>
              <w:t>Bulldog Cable</w:t>
            </w:r>
          </w:p>
        </w:tc>
        <w:tc>
          <w:tcPr>
            <w:tcW w:w="2080"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Conyers, GA</w:t>
            </w:r>
          </w:p>
        </w:tc>
      </w:tr>
      <w:tr w:rsidR="00BB4581" w:rsidRPr="004F67B1" w:rsidTr="004F6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r w:rsidRPr="004F67B1">
              <w:rPr>
                <w:rFonts w:eastAsia="Times New Roman" w:cs="Times New Roman"/>
                <w:b w:val="0"/>
                <w:color w:val="000000"/>
              </w:rPr>
              <w:t>Charter</w:t>
            </w:r>
          </w:p>
        </w:tc>
        <w:tc>
          <w:tcPr>
            <w:tcW w:w="2080"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Stamford, CT</w:t>
            </w:r>
          </w:p>
        </w:tc>
      </w:tr>
      <w:tr w:rsidR="00BB4581" w:rsidRPr="004F67B1" w:rsidTr="004F67B1">
        <w:trPr>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r w:rsidRPr="004F67B1">
              <w:rPr>
                <w:rFonts w:eastAsia="Times New Roman" w:cs="Times New Roman"/>
                <w:b w:val="0"/>
                <w:color w:val="000000"/>
              </w:rPr>
              <w:t>Comcast</w:t>
            </w:r>
          </w:p>
        </w:tc>
        <w:tc>
          <w:tcPr>
            <w:tcW w:w="2080"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Philadelphia, PA</w:t>
            </w:r>
          </w:p>
        </w:tc>
      </w:tr>
      <w:tr w:rsidR="00BB4581" w:rsidRPr="004F67B1" w:rsidTr="004F6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proofErr w:type="spellStart"/>
            <w:r w:rsidRPr="004F67B1">
              <w:rPr>
                <w:rFonts w:eastAsia="Times New Roman" w:cs="Times New Roman"/>
                <w:b w:val="0"/>
                <w:color w:val="000000"/>
              </w:rPr>
              <w:t>ElbertonNET</w:t>
            </w:r>
            <w:proofErr w:type="spellEnd"/>
          </w:p>
        </w:tc>
        <w:tc>
          <w:tcPr>
            <w:tcW w:w="2080"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Elberton, GA</w:t>
            </w:r>
          </w:p>
        </w:tc>
      </w:tr>
      <w:tr w:rsidR="00BB4581" w:rsidRPr="004F67B1" w:rsidTr="004F67B1">
        <w:trPr>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r w:rsidRPr="004F67B1">
              <w:rPr>
                <w:rFonts w:eastAsia="Times New Roman" w:cs="Times New Roman"/>
                <w:b w:val="0"/>
                <w:color w:val="000000"/>
              </w:rPr>
              <w:t>Georgia Public Web*</w:t>
            </w:r>
          </w:p>
        </w:tc>
        <w:tc>
          <w:tcPr>
            <w:tcW w:w="2080"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Sandy Springs, GA</w:t>
            </w:r>
          </w:p>
        </w:tc>
      </w:tr>
      <w:tr w:rsidR="00BB4581" w:rsidRPr="004F67B1" w:rsidTr="004F6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bookmarkStart w:id="22" w:name="RANGE!E8"/>
            <w:r w:rsidRPr="004F67B1">
              <w:rPr>
                <w:rFonts w:eastAsia="Times New Roman" w:cs="Times New Roman"/>
                <w:b w:val="0"/>
                <w:color w:val="000000"/>
              </w:rPr>
              <w:t>Hart Telephone</w:t>
            </w:r>
            <w:bookmarkEnd w:id="22"/>
          </w:p>
        </w:tc>
        <w:tc>
          <w:tcPr>
            <w:tcW w:w="2080"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Hartwell, GA</w:t>
            </w:r>
          </w:p>
        </w:tc>
      </w:tr>
      <w:tr w:rsidR="00BB4581" w:rsidRPr="004F67B1" w:rsidTr="004F67B1">
        <w:trPr>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r w:rsidRPr="004F67B1">
              <w:rPr>
                <w:rFonts w:eastAsia="Times New Roman" w:cs="Times New Roman"/>
                <w:b w:val="0"/>
                <w:color w:val="000000"/>
              </w:rPr>
              <w:t>Level 3 Communications</w:t>
            </w:r>
          </w:p>
        </w:tc>
        <w:tc>
          <w:tcPr>
            <w:tcW w:w="2080"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Broomfield, CO</w:t>
            </w:r>
          </w:p>
        </w:tc>
      </w:tr>
      <w:tr w:rsidR="00BB4581" w:rsidRPr="004F67B1" w:rsidTr="004F6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proofErr w:type="spellStart"/>
            <w:r w:rsidRPr="004F67B1">
              <w:rPr>
                <w:rFonts w:eastAsia="Times New Roman" w:cs="Times New Roman"/>
                <w:b w:val="0"/>
                <w:color w:val="000000"/>
              </w:rPr>
              <w:t>Megapath</w:t>
            </w:r>
            <w:proofErr w:type="spellEnd"/>
          </w:p>
        </w:tc>
        <w:tc>
          <w:tcPr>
            <w:tcW w:w="2080"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Costa Mesa, CA</w:t>
            </w:r>
          </w:p>
        </w:tc>
      </w:tr>
      <w:tr w:rsidR="00BB4581" w:rsidRPr="004F67B1" w:rsidTr="004F67B1">
        <w:trPr>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r w:rsidRPr="004F67B1">
              <w:rPr>
                <w:rFonts w:eastAsia="Times New Roman" w:cs="Times New Roman"/>
                <w:b w:val="0"/>
                <w:color w:val="000000"/>
              </w:rPr>
              <w:t>MonroeAccess.net</w:t>
            </w:r>
          </w:p>
        </w:tc>
        <w:tc>
          <w:tcPr>
            <w:tcW w:w="2080"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Monroe, GA</w:t>
            </w:r>
          </w:p>
        </w:tc>
      </w:tr>
      <w:tr w:rsidR="00BB4581" w:rsidRPr="004F67B1" w:rsidTr="004F6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r w:rsidRPr="004F67B1">
              <w:rPr>
                <w:rFonts w:eastAsia="Times New Roman" w:cs="Times New Roman"/>
                <w:b w:val="0"/>
                <w:color w:val="000000"/>
              </w:rPr>
              <w:footnoteReference w:customMarkFollows="1" w:id="5"/>
              <w:t xml:space="preserve">Parker </w:t>
            </w:r>
            <w:proofErr w:type="spellStart"/>
            <w:r w:rsidRPr="004F67B1">
              <w:rPr>
                <w:rFonts w:eastAsia="Times New Roman" w:cs="Times New Roman"/>
                <w:b w:val="0"/>
                <w:color w:val="000000"/>
              </w:rPr>
              <w:t>FiberNet</w:t>
            </w:r>
            <w:proofErr w:type="spellEnd"/>
            <w:r w:rsidRPr="004F67B1">
              <w:rPr>
                <w:rFonts w:eastAsia="Times New Roman" w:cs="Times New Roman"/>
                <w:b w:val="0"/>
                <w:color w:val="000000"/>
              </w:rPr>
              <w:t>*</w:t>
            </w:r>
          </w:p>
        </w:tc>
        <w:tc>
          <w:tcPr>
            <w:tcW w:w="2080"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Summerville, GA</w:t>
            </w:r>
          </w:p>
        </w:tc>
      </w:tr>
      <w:tr w:rsidR="00BB4581" w:rsidRPr="004F67B1" w:rsidTr="004F67B1">
        <w:trPr>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r w:rsidRPr="004F67B1">
              <w:rPr>
                <w:rFonts w:eastAsia="Times New Roman" w:cs="Times New Roman"/>
                <w:b w:val="0"/>
                <w:color w:val="000000"/>
              </w:rPr>
              <w:t>Southern Telecom, LLC*</w:t>
            </w:r>
          </w:p>
        </w:tc>
        <w:tc>
          <w:tcPr>
            <w:tcW w:w="2080"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Atlanta, GA</w:t>
            </w:r>
          </w:p>
        </w:tc>
      </w:tr>
      <w:tr w:rsidR="00BB4581" w:rsidRPr="004F67B1" w:rsidTr="004F6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proofErr w:type="spellStart"/>
            <w:r w:rsidRPr="004F67B1">
              <w:rPr>
                <w:rFonts w:eastAsia="Times New Roman" w:cs="Times New Roman"/>
                <w:b w:val="0"/>
                <w:color w:val="000000"/>
              </w:rPr>
              <w:t>TruVista</w:t>
            </w:r>
            <w:proofErr w:type="spellEnd"/>
          </w:p>
        </w:tc>
        <w:tc>
          <w:tcPr>
            <w:tcW w:w="2080"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Chester, SC</w:t>
            </w:r>
          </w:p>
        </w:tc>
      </w:tr>
      <w:tr w:rsidR="00BB4581" w:rsidRPr="004F67B1" w:rsidTr="004F67B1">
        <w:trPr>
          <w:trHeight w:val="300"/>
        </w:trPr>
        <w:tc>
          <w:tcPr>
            <w:cnfStyle w:val="001000000000" w:firstRow="0" w:lastRow="0" w:firstColumn="1" w:lastColumn="0" w:oddVBand="0" w:evenVBand="0" w:oddHBand="0" w:evenHBand="0" w:firstRowFirstColumn="0" w:firstRowLastColumn="0" w:lastRowFirstColumn="0" w:lastRowLastColumn="0"/>
            <w:tcW w:w="2680" w:type="dxa"/>
            <w:noWrap/>
            <w:hideMark/>
          </w:tcPr>
          <w:p w:rsidR="00BB4581" w:rsidRPr="004F67B1" w:rsidRDefault="00BB4581" w:rsidP="00EB0173">
            <w:pPr>
              <w:jc w:val="both"/>
              <w:rPr>
                <w:rFonts w:eastAsia="Times New Roman" w:cs="Times New Roman"/>
                <w:b w:val="0"/>
                <w:color w:val="000000"/>
              </w:rPr>
            </w:pPr>
            <w:r w:rsidRPr="004F67B1">
              <w:rPr>
                <w:rFonts w:eastAsia="Times New Roman" w:cs="Times New Roman"/>
                <w:b w:val="0"/>
                <w:color w:val="000000"/>
              </w:rPr>
              <w:t>Windstream</w:t>
            </w:r>
          </w:p>
        </w:tc>
        <w:tc>
          <w:tcPr>
            <w:tcW w:w="2080"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Little Rock, AR</w:t>
            </w:r>
          </w:p>
        </w:tc>
      </w:tr>
      <w:tr w:rsidR="00BB4581" w:rsidRPr="004F67B1" w:rsidTr="004F67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tcBorders>
              <w:bottom w:val="single" w:sz="8" w:space="0" w:color="4BACC6" w:themeColor="accent5"/>
            </w:tcBorders>
            <w:noWrap/>
            <w:hideMark/>
          </w:tcPr>
          <w:p w:rsidR="00BB4581" w:rsidRPr="004F67B1" w:rsidRDefault="00BB4581" w:rsidP="00EB0173">
            <w:pPr>
              <w:jc w:val="both"/>
              <w:rPr>
                <w:rFonts w:eastAsia="Times New Roman" w:cs="Times New Roman"/>
                <w:b w:val="0"/>
                <w:color w:val="000000"/>
              </w:rPr>
            </w:pPr>
            <w:proofErr w:type="spellStart"/>
            <w:r w:rsidRPr="004F67B1">
              <w:rPr>
                <w:rFonts w:eastAsia="Times New Roman" w:cs="Times New Roman"/>
                <w:b w:val="0"/>
                <w:color w:val="000000"/>
              </w:rPr>
              <w:t>Zayo</w:t>
            </w:r>
            <w:proofErr w:type="spellEnd"/>
            <w:r w:rsidRPr="004F67B1">
              <w:rPr>
                <w:rFonts w:eastAsia="Times New Roman" w:cs="Times New Roman"/>
                <w:b w:val="0"/>
                <w:color w:val="000000"/>
              </w:rPr>
              <w:t xml:space="preserve"> Group*</w:t>
            </w:r>
          </w:p>
        </w:tc>
        <w:tc>
          <w:tcPr>
            <w:tcW w:w="2080" w:type="dxa"/>
            <w:tcBorders>
              <w:bottom w:val="single" w:sz="8" w:space="0" w:color="4BACC6" w:themeColor="accent5"/>
            </w:tcBorders>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4F67B1">
              <w:rPr>
                <w:rFonts w:eastAsia="Times New Roman" w:cs="Times New Roman"/>
                <w:color w:val="000000"/>
              </w:rPr>
              <w:t>Boulder, CO</w:t>
            </w:r>
          </w:p>
        </w:tc>
      </w:tr>
      <w:tr w:rsidR="004F67B1" w:rsidRPr="004F67B1" w:rsidTr="004F67B1">
        <w:trPr>
          <w:trHeight w:val="300"/>
        </w:trPr>
        <w:tc>
          <w:tcPr>
            <w:cnfStyle w:val="001000000000" w:firstRow="0" w:lastRow="0" w:firstColumn="1" w:lastColumn="0" w:oddVBand="0" w:evenVBand="0" w:oddHBand="0" w:evenHBand="0" w:firstRowFirstColumn="0" w:firstRowLastColumn="0" w:lastRowFirstColumn="0" w:lastRowLastColumn="0"/>
            <w:tcW w:w="4760" w:type="dxa"/>
            <w:gridSpan w:val="2"/>
            <w:tcBorders>
              <w:top w:val="single" w:sz="8" w:space="0" w:color="4BACC6" w:themeColor="accent5"/>
              <w:bottom w:val="nil"/>
            </w:tcBorders>
            <w:noWrap/>
          </w:tcPr>
          <w:p w:rsidR="000155BE" w:rsidRDefault="004F67B1" w:rsidP="00A71132">
            <w:pPr>
              <w:jc w:val="both"/>
            </w:pPr>
            <w:r w:rsidRPr="003A3E2F">
              <w:rPr>
                <w:b w:val="0"/>
                <w:sz w:val="18"/>
                <w:szCs w:val="18"/>
              </w:rPr>
              <w:t>*Participation in the State Broadband Mapping Initiative is voluntary, and these broadband service providers opted not to share data with the Georgia Technology Authority and Sanborn Map Company. NEGRC staff met with a representative from Georgia Public Web, a nonprofit provider, to learn about the services offered by the organization.</w:t>
            </w:r>
          </w:p>
          <w:p w:rsidR="00A71132" w:rsidRPr="000155BE" w:rsidRDefault="00A71132" w:rsidP="00A71132">
            <w:pPr>
              <w:jc w:val="both"/>
              <w:rPr>
                <w:b w:val="0"/>
                <w:sz w:val="18"/>
                <w:szCs w:val="18"/>
              </w:rPr>
            </w:pPr>
          </w:p>
        </w:tc>
      </w:tr>
    </w:tbl>
    <w:p w:rsidR="00BB4581" w:rsidRPr="00BB4581" w:rsidRDefault="00BB4581" w:rsidP="00672A78">
      <w:pPr>
        <w:spacing w:line="240" w:lineRule="auto"/>
        <w:jc w:val="center"/>
        <w:rPr>
          <w:sz w:val="24"/>
          <w:szCs w:val="24"/>
        </w:rPr>
      </w:pPr>
      <w:r w:rsidRPr="00BB4581">
        <w:rPr>
          <w:b/>
          <w:sz w:val="24"/>
          <w:szCs w:val="24"/>
        </w:rPr>
        <w:lastRenderedPageBreak/>
        <w:t>Map 6—Fiber Lines in Region</w:t>
      </w:r>
      <w:r w:rsidRPr="00BB4581">
        <w:rPr>
          <w:noProof/>
          <w:sz w:val="24"/>
          <w:szCs w:val="24"/>
        </w:rPr>
        <w:drawing>
          <wp:inline distT="0" distB="0" distL="0" distR="0" wp14:anchorId="58BA9AE8" wp14:editId="09D58F86">
            <wp:extent cx="5486400" cy="548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6 (Fiber Lines).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BB4581" w:rsidRPr="004F67B1" w:rsidRDefault="00BB4581" w:rsidP="00EB0173">
      <w:pPr>
        <w:spacing w:line="240" w:lineRule="auto"/>
        <w:jc w:val="both"/>
        <w:rPr>
          <w:sz w:val="18"/>
          <w:szCs w:val="18"/>
        </w:rPr>
      </w:pPr>
      <w:r w:rsidRPr="004F67B1">
        <w:rPr>
          <w:sz w:val="18"/>
          <w:szCs w:val="18"/>
        </w:rPr>
        <w:t xml:space="preserve">Source:  Georgia Technology Authority Middle Mile Database </w:t>
      </w:r>
    </w:p>
    <w:p w:rsidR="00BB4581" w:rsidRPr="00F018BC" w:rsidRDefault="00BB4581" w:rsidP="00F018BC">
      <w:pPr>
        <w:pStyle w:val="Heading2"/>
      </w:pPr>
      <w:bookmarkStart w:id="23" w:name="_Toc395275940"/>
      <w:r w:rsidRPr="00F018BC">
        <w:t>Key Broadband Strengths</w:t>
      </w:r>
      <w:bookmarkEnd w:id="23"/>
    </w:p>
    <w:p w:rsidR="00BB4581" w:rsidRPr="00BB4581" w:rsidRDefault="00BB4581" w:rsidP="00EB0173">
      <w:pPr>
        <w:spacing w:line="240" w:lineRule="auto"/>
        <w:jc w:val="both"/>
        <w:rPr>
          <w:sz w:val="24"/>
          <w:szCs w:val="24"/>
        </w:rPr>
      </w:pPr>
      <w:r w:rsidRPr="00BB4581">
        <w:rPr>
          <w:sz w:val="24"/>
          <w:szCs w:val="24"/>
        </w:rPr>
        <w:t>According to available provider data, the region is well covered in terms of both wireless and wireline internet connectivity.</w:t>
      </w:r>
      <w:r w:rsidRPr="00BB4581">
        <w:rPr>
          <w:rStyle w:val="FootnoteReference"/>
          <w:sz w:val="24"/>
          <w:szCs w:val="24"/>
        </w:rPr>
        <w:footnoteReference w:id="6"/>
      </w:r>
      <w:r w:rsidRPr="00BB4581">
        <w:rPr>
          <w:sz w:val="24"/>
          <w:szCs w:val="24"/>
        </w:rPr>
        <w:t xml:space="preserve"> Less than 0.02% of the region’s population lacks wireless coverage and only slightly over 5% of the region lacks access to wireline coverage. This is reflected by questionnaire responses; 99% of respondents to the business questionnaire have </w:t>
      </w:r>
      <w:r w:rsidRPr="00BB4581">
        <w:rPr>
          <w:sz w:val="24"/>
          <w:szCs w:val="24"/>
        </w:rPr>
        <w:lastRenderedPageBreak/>
        <w:t>access to internet at their location.  Similarly, nearly 100% of respondents to the residential questionnaire have an internet-enabled device at home.  Additionally, two cities in the region—Elberton and Monroe—offer municipal broadband access to its residences.</w:t>
      </w:r>
    </w:p>
    <w:p w:rsidR="00BB4581" w:rsidRPr="00F018BC" w:rsidRDefault="00BB4581" w:rsidP="00F018BC">
      <w:pPr>
        <w:pStyle w:val="Heading2"/>
      </w:pPr>
      <w:bookmarkStart w:id="24" w:name="_Toc395275941"/>
      <w:r w:rsidRPr="00F018BC">
        <w:t>Areas in Need</w:t>
      </w:r>
      <w:bookmarkEnd w:id="24"/>
    </w:p>
    <w:p w:rsidR="00BB4581" w:rsidRPr="00BB4581" w:rsidRDefault="00BB4581" w:rsidP="00EB0173">
      <w:pPr>
        <w:spacing w:line="240" w:lineRule="auto"/>
        <w:jc w:val="both"/>
        <w:rPr>
          <w:sz w:val="24"/>
          <w:szCs w:val="24"/>
        </w:rPr>
      </w:pPr>
      <w:r w:rsidRPr="00BB4581">
        <w:rPr>
          <w:sz w:val="24"/>
          <w:szCs w:val="24"/>
        </w:rPr>
        <w:t xml:space="preserve">Regionally, while nearly 13% of the land area lacks access to any broadband (defined by GTA as having a maximum advertised download speed of 3Mbps or greater), this only accounts for slightly over 1% of the total population. So in terms of access to broadband internet, the region is pretty well covered. Gaps still exist, and infrastructure could stand to be improved to cover this roughly 477 square mile and 6,300 population gap. More notable, however, is lack of access to </w:t>
      </w:r>
      <w:r w:rsidRPr="00BB4581">
        <w:rPr>
          <w:i/>
          <w:sz w:val="24"/>
          <w:szCs w:val="24"/>
        </w:rPr>
        <w:t>adequate</w:t>
      </w:r>
      <w:r w:rsidRPr="00BB4581">
        <w:rPr>
          <w:sz w:val="24"/>
          <w:szCs w:val="24"/>
        </w:rPr>
        <w:t xml:space="preserve"> broadband for individual/residential needs, and institutional/business needs. To determine what qualified as adequate and inadequate, the following information was consulted, adapted from The Open Technology Institute:</w:t>
      </w:r>
    </w:p>
    <w:p w:rsidR="004F67B1" w:rsidRPr="004F67B1" w:rsidRDefault="004F67B1" w:rsidP="00EB0173">
      <w:pPr>
        <w:pStyle w:val="Caption"/>
        <w:keepNext/>
        <w:jc w:val="both"/>
        <w:rPr>
          <w:color w:val="auto"/>
        </w:rPr>
      </w:pPr>
      <w:r w:rsidRPr="004F67B1">
        <w:rPr>
          <w:color w:val="auto"/>
        </w:rPr>
        <w:t xml:space="preserve">Table </w:t>
      </w:r>
      <w:r w:rsidRPr="004F67B1">
        <w:rPr>
          <w:color w:val="auto"/>
        </w:rPr>
        <w:fldChar w:fldCharType="begin"/>
      </w:r>
      <w:r w:rsidRPr="004F67B1">
        <w:rPr>
          <w:color w:val="auto"/>
        </w:rPr>
        <w:instrText xml:space="preserve"> SEQ Table \* ARABIC </w:instrText>
      </w:r>
      <w:r w:rsidRPr="004F67B1">
        <w:rPr>
          <w:color w:val="auto"/>
        </w:rPr>
        <w:fldChar w:fldCharType="separate"/>
      </w:r>
      <w:r w:rsidR="00B91CD4">
        <w:rPr>
          <w:noProof/>
          <w:color w:val="auto"/>
        </w:rPr>
        <w:t>13</w:t>
      </w:r>
      <w:r w:rsidRPr="004F67B1">
        <w:rPr>
          <w:color w:val="auto"/>
        </w:rPr>
        <w:fldChar w:fldCharType="end"/>
      </w:r>
    </w:p>
    <w:tbl>
      <w:tblPr>
        <w:tblW w:w="9400" w:type="dxa"/>
        <w:tblInd w:w="93" w:type="dxa"/>
        <w:tblLook w:val="04A0" w:firstRow="1" w:lastRow="0" w:firstColumn="1" w:lastColumn="0" w:noHBand="0" w:noVBand="1"/>
      </w:tblPr>
      <w:tblGrid>
        <w:gridCol w:w="2380"/>
        <w:gridCol w:w="880"/>
        <w:gridCol w:w="900"/>
        <w:gridCol w:w="900"/>
        <w:gridCol w:w="900"/>
        <w:gridCol w:w="900"/>
        <w:gridCol w:w="880"/>
        <w:gridCol w:w="940"/>
        <w:gridCol w:w="720"/>
      </w:tblGrid>
      <w:tr w:rsidR="00BB4581" w:rsidRPr="004F67B1" w:rsidTr="00BB4581">
        <w:trPr>
          <w:trHeight w:val="300"/>
        </w:trPr>
        <w:tc>
          <w:tcPr>
            <w:tcW w:w="9400" w:type="dxa"/>
            <w:gridSpan w:val="9"/>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u w:val="single"/>
              </w:rPr>
            </w:pPr>
            <w:r w:rsidRPr="004F67B1">
              <w:rPr>
                <w:rFonts w:eastAsia="Times New Roman" w:cs="Times New Roman"/>
                <w:color w:val="000000"/>
                <w:u w:val="single"/>
              </w:rPr>
              <w:t>Bandwidth Needs of Individual Broadband Applications</w:t>
            </w:r>
          </w:p>
        </w:tc>
      </w:tr>
      <w:tr w:rsidR="00BB4581" w:rsidRPr="004F67B1" w:rsidTr="00BB4581">
        <w:trPr>
          <w:trHeight w:val="300"/>
        </w:trPr>
        <w:tc>
          <w:tcPr>
            <w:tcW w:w="23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u w:val="single"/>
              </w:rPr>
            </w:pPr>
          </w:p>
        </w:tc>
        <w:tc>
          <w:tcPr>
            <w:tcW w:w="8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u w:val="single"/>
              </w:rPr>
            </w:pP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u w:val="single"/>
              </w:rPr>
            </w:pP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u w:val="single"/>
              </w:rPr>
            </w:pPr>
          </w:p>
        </w:tc>
        <w:tc>
          <w:tcPr>
            <w:tcW w:w="4340" w:type="dxa"/>
            <w:gridSpan w:val="5"/>
            <w:tcBorders>
              <w:top w:val="nil"/>
              <w:left w:val="nil"/>
              <w:bottom w:val="nil"/>
              <w:right w:val="nil"/>
            </w:tcBorders>
            <w:shd w:val="clear" w:color="000000" w:fill="D9D9D9"/>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ADEQUATE</w:t>
            </w:r>
          </w:p>
        </w:tc>
      </w:tr>
      <w:tr w:rsidR="00BB4581" w:rsidRPr="004F67B1" w:rsidTr="00BB4581">
        <w:trPr>
          <w:trHeight w:val="300"/>
        </w:trPr>
        <w:tc>
          <w:tcPr>
            <w:tcW w:w="23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rPr>
            </w:pPr>
          </w:p>
        </w:tc>
        <w:tc>
          <w:tcPr>
            <w:tcW w:w="8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56Kbps</w:t>
            </w: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768Kbps</w:t>
            </w: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1Mbps</w:t>
            </w: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10Mbps</w:t>
            </w: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20Mbps</w:t>
            </w:r>
          </w:p>
        </w:tc>
        <w:tc>
          <w:tcPr>
            <w:tcW w:w="8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50Mbps</w:t>
            </w:r>
          </w:p>
        </w:tc>
        <w:tc>
          <w:tcPr>
            <w:tcW w:w="94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100Mbps</w:t>
            </w:r>
          </w:p>
        </w:tc>
        <w:tc>
          <w:tcPr>
            <w:tcW w:w="72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1Gbps</w:t>
            </w:r>
          </w:p>
        </w:tc>
      </w:tr>
      <w:tr w:rsidR="00BB4581" w:rsidRPr="004F67B1" w:rsidTr="00BB4581">
        <w:trPr>
          <w:trHeight w:val="465"/>
        </w:trPr>
        <w:tc>
          <w:tcPr>
            <w:tcW w:w="2380" w:type="dxa"/>
            <w:tcBorders>
              <w:top w:val="nil"/>
              <w:left w:val="nil"/>
              <w:bottom w:val="nil"/>
              <w:right w:val="nil"/>
            </w:tcBorders>
            <w:shd w:val="clear" w:color="auto" w:fill="auto"/>
            <w:vAlign w:val="bottom"/>
            <w:hideMark/>
          </w:tcPr>
          <w:p w:rsidR="00BB4581" w:rsidRPr="004F67B1" w:rsidRDefault="00BB4581" w:rsidP="00672A78">
            <w:pPr>
              <w:spacing w:after="0" w:line="240" w:lineRule="auto"/>
              <w:rPr>
                <w:rFonts w:eastAsia="Times New Roman" w:cs="Times New Roman"/>
                <w:b/>
                <w:bCs/>
                <w:color w:val="000000"/>
                <w:sz w:val="18"/>
                <w:szCs w:val="18"/>
              </w:rPr>
            </w:pPr>
            <w:r w:rsidRPr="004F67B1">
              <w:rPr>
                <w:rFonts w:eastAsia="Times New Roman" w:cs="Times New Roman"/>
                <w:b/>
                <w:bCs/>
                <w:color w:val="000000"/>
                <w:sz w:val="18"/>
                <w:szCs w:val="18"/>
              </w:rPr>
              <w:t xml:space="preserve">Download MP3 </w:t>
            </w:r>
            <w:r w:rsidRPr="004F67B1">
              <w:rPr>
                <w:rFonts w:eastAsia="Times New Roman" w:cs="Times New Roman"/>
                <w:b/>
                <w:bCs/>
                <w:color w:val="000000"/>
                <w:sz w:val="18"/>
                <w:szCs w:val="18"/>
              </w:rPr>
              <w:br/>
              <w:t>Music File (4MB)</w:t>
            </w:r>
          </w:p>
        </w:tc>
        <w:tc>
          <w:tcPr>
            <w:tcW w:w="880" w:type="dxa"/>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r w:rsidRPr="004F67B1">
              <w:rPr>
                <w:rFonts w:eastAsia="Times New Roman" w:cs="Times New Roman"/>
                <w:color w:val="000000"/>
                <w:sz w:val="18"/>
                <w:szCs w:val="18"/>
              </w:rPr>
              <w:br/>
              <w:t>(10 min)</w:t>
            </w:r>
          </w:p>
        </w:tc>
        <w:tc>
          <w:tcPr>
            <w:tcW w:w="900" w:type="dxa"/>
            <w:tcBorders>
              <w:top w:val="nil"/>
              <w:left w:val="nil"/>
              <w:bottom w:val="nil"/>
              <w:right w:val="nil"/>
            </w:tcBorders>
            <w:shd w:val="clear" w:color="000000" w:fill="FCD5B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OK</w:t>
            </w:r>
            <w:r w:rsidRPr="004F67B1">
              <w:rPr>
                <w:rFonts w:eastAsia="Times New Roman" w:cs="Times New Roman"/>
                <w:color w:val="000000"/>
                <w:sz w:val="18"/>
                <w:szCs w:val="18"/>
              </w:rPr>
              <w:br/>
              <w:t>(42 sec)</w:t>
            </w:r>
          </w:p>
        </w:tc>
        <w:tc>
          <w:tcPr>
            <w:tcW w:w="900" w:type="dxa"/>
            <w:tcBorders>
              <w:top w:val="nil"/>
              <w:left w:val="nil"/>
              <w:bottom w:val="nil"/>
              <w:right w:val="nil"/>
            </w:tcBorders>
            <w:shd w:val="clear" w:color="000000" w:fill="92CDDC"/>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r w:rsidRPr="004F67B1">
              <w:rPr>
                <w:rFonts w:eastAsia="Times New Roman" w:cs="Times New Roman"/>
                <w:color w:val="000000"/>
                <w:sz w:val="18"/>
                <w:szCs w:val="18"/>
              </w:rPr>
              <w:br/>
              <w:t>(32 sec)</w:t>
            </w:r>
          </w:p>
        </w:tc>
        <w:tc>
          <w:tcPr>
            <w:tcW w:w="900" w:type="dxa"/>
            <w:tcBorders>
              <w:top w:val="nil"/>
              <w:left w:val="nil"/>
              <w:bottom w:val="nil"/>
              <w:right w:val="nil"/>
            </w:tcBorders>
            <w:shd w:val="clear" w:color="000000" w:fill="92CDDC"/>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r w:rsidRPr="004F67B1">
              <w:rPr>
                <w:rFonts w:eastAsia="Times New Roman" w:cs="Times New Roman"/>
                <w:color w:val="000000"/>
                <w:sz w:val="18"/>
                <w:szCs w:val="18"/>
              </w:rPr>
              <w:br/>
              <w:t>(3 sec)</w:t>
            </w:r>
          </w:p>
        </w:tc>
        <w:tc>
          <w:tcPr>
            <w:tcW w:w="3440" w:type="dxa"/>
            <w:gridSpan w:val="4"/>
            <w:tcBorders>
              <w:top w:val="nil"/>
              <w:left w:val="nil"/>
              <w:bottom w:val="nil"/>
              <w:right w:val="nil"/>
            </w:tcBorders>
            <w:shd w:val="clear" w:color="000000" w:fill="92D050"/>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Best</w:t>
            </w:r>
            <w:r w:rsidRPr="004F67B1">
              <w:rPr>
                <w:rFonts w:eastAsia="Times New Roman" w:cs="Times New Roman"/>
                <w:color w:val="000000"/>
                <w:sz w:val="18"/>
                <w:szCs w:val="18"/>
              </w:rPr>
              <w:br/>
              <w:t>(1 sec)</w:t>
            </w:r>
          </w:p>
        </w:tc>
      </w:tr>
      <w:tr w:rsidR="00BB4581" w:rsidRPr="004F67B1" w:rsidTr="00BB4581">
        <w:trPr>
          <w:trHeight w:val="465"/>
        </w:trPr>
        <w:tc>
          <w:tcPr>
            <w:tcW w:w="2380" w:type="dxa"/>
            <w:tcBorders>
              <w:top w:val="nil"/>
              <w:left w:val="nil"/>
              <w:bottom w:val="nil"/>
              <w:right w:val="nil"/>
            </w:tcBorders>
            <w:shd w:val="clear" w:color="auto" w:fill="auto"/>
            <w:vAlign w:val="bottom"/>
            <w:hideMark/>
          </w:tcPr>
          <w:p w:rsidR="00BB4581" w:rsidRPr="004F67B1" w:rsidRDefault="00BB4581" w:rsidP="00672A78">
            <w:pPr>
              <w:spacing w:after="0" w:line="240" w:lineRule="auto"/>
              <w:rPr>
                <w:rFonts w:eastAsia="Times New Roman" w:cs="Times New Roman"/>
                <w:b/>
                <w:bCs/>
                <w:color w:val="000000"/>
                <w:sz w:val="18"/>
                <w:szCs w:val="18"/>
              </w:rPr>
            </w:pPr>
            <w:r w:rsidRPr="004F67B1">
              <w:rPr>
                <w:rFonts w:eastAsia="Times New Roman" w:cs="Times New Roman"/>
                <w:b/>
                <w:bCs/>
                <w:color w:val="000000"/>
                <w:sz w:val="18"/>
                <w:szCs w:val="18"/>
              </w:rPr>
              <w:t>Online Software</w:t>
            </w:r>
            <w:r w:rsidRPr="004F67B1">
              <w:rPr>
                <w:rFonts w:eastAsia="Times New Roman" w:cs="Times New Roman"/>
                <w:b/>
                <w:bCs/>
                <w:color w:val="000000"/>
                <w:sz w:val="18"/>
                <w:szCs w:val="18"/>
              </w:rPr>
              <w:br/>
              <w:t>Purchase (500MB)</w:t>
            </w:r>
          </w:p>
        </w:tc>
        <w:tc>
          <w:tcPr>
            <w:tcW w:w="880" w:type="dxa"/>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r w:rsidRPr="004F67B1">
              <w:rPr>
                <w:rFonts w:eastAsia="Times New Roman" w:cs="Times New Roman"/>
                <w:color w:val="000000"/>
                <w:sz w:val="18"/>
                <w:szCs w:val="18"/>
              </w:rPr>
              <w:br/>
              <w:t xml:space="preserve">(20 </w:t>
            </w:r>
            <w:proofErr w:type="spellStart"/>
            <w:r w:rsidRPr="004F67B1">
              <w:rPr>
                <w:rFonts w:eastAsia="Times New Roman" w:cs="Times New Roman"/>
                <w:color w:val="000000"/>
                <w:sz w:val="18"/>
                <w:szCs w:val="18"/>
              </w:rPr>
              <w:t>hrs</w:t>
            </w:r>
            <w:proofErr w:type="spellEnd"/>
            <w:r w:rsidRPr="004F67B1">
              <w:rPr>
                <w:rFonts w:eastAsia="Times New Roman" w:cs="Times New Roman"/>
                <w:color w:val="000000"/>
                <w:sz w:val="18"/>
                <w:szCs w:val="18"/>
              </w:rPr>
              <w:t>)</w:t>
            </w:r>
          </w:p>
        </w:tc>
        <w:tc>
          <w:tcPr>
            <w:tcW w:w="900" w:type="dxa"/>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r w:rsidRPr="004F67B1">
              <w:rPr>
                <w:rFonts w:eastAsia="Times New Roman" w:cs="Times New Roman"/>
                <w:color w:val="000000"/>
                <w:sz w:val="18"/>
                <w:szCs w:val="18"/>
              </w:rPr>
              <w:br/>
              <w:t>(87 min)</w:t>
            </w:r>
          </w:p>
        </w:tc>
        <w:tc>
          <w:tcPr>
            <w:tcW w:w="900" w:type="dxa"/>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r w:rsidRPr="004F67B1">
              <w:rPr>
                <w:rFonts w:eastAsia="Times New Roman" w:cs="Times New Roman"/>
                <w:color w:val="000000"/>
                <w:sz w:val="18"/>
                <w:szCs w:val="18"/>
              </w:rPr>
              <w:br/>
              <w:t>(67 min)</w:t>
            </w:r>
          </w:p>
        </w:tc>
        <w:tc>
          <w:tcPr>
            <w:tcW w:w="900" w:type="dxa"/>
            <w:tcBorders>
              <w:top w:val="nil"/>
              <w:left w:val="nil"/>
              <w:bottom w:val="nil"/>
              <w:right w:val="nil"/>
            </w:tcBorders>
            <w:shd w:val="clear" w:color="000000" w:fill="FCD5B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OK</w:t>
            </w:r>
            <w:r w:rsidRPr="004F67B1">
              <w:rPr>
                <w:rFonts w:eastAsia="Times New Roman" w:cs="Times New Roman"/>
                <w:color w:val="000000"/>
                <w:sz w:val="18"/>
                <w:szCs w:val="18"/>
              </w:rPr>
              <w:br/>
              <w:t>(7 min)</w:t>
            </w:r>
          </w:p>
        </w:tc>
        <w:tc>
          <w:tcPr>
            <w:tcW w:w="900" w:type="dxa"/>
            <w:tcBorders>
              <w:top w:val="nil"/>
              <w:left w:val="nil"/>
              <w:bottom w:val="nil"/>
              <w:right w:val="nil"/>
            </w:tcBorders>
            <w:shd w:val="clear" w:color="000000" w:fill="92CDDC"/>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r w:rsidRPr="004F67B1">
              <w:rPr>
                <w:rFonts w:eastAsia="Times New Roman" w:cs="Times New Roman"/>
                <w:color w:val="000000"/>
                <w:sz w:val="18"/>
                <w:szCs w:val="18"/>
              </w:rPr>
              <w:br/>
              <w:t>(4 min)</w:t>
            </w:r>
          </w:p>
        </w:tc>
        <w:tc>
          <w:tcPr>
            <w:tcW w:w="880" w:type="dxa"/>
            <w:tcBorders>
              <w:top w:val="nil"/>
              <w:left w:val="nil"/>
              <w:bottom w:val="nil"/>
              <w:right w:val="nil"/>
            </w:tcBorders>
            <w:shd w:val="clear" w:color="000000" w:fill="92CDDC"/>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r w:rsidRPr="004F67B1">
              <w:rPr>
                <w:rFonts w:eastAsia="Times New Roman" w:cs="Times New Roman"/>
                <w:color w:val="000000"/>
                <w:sz w:val="18"/>
                <w:szCs w:val="18"/>
              </w:rPr>
              <w:br/>
              <w:t>(80 sec)</w:t>
            </w:r>
          </w:p>
        </w:tc>
        <w:tc>
          <w:tcPr>
            <w:tcW w:w="940" w:type="dxa"/>
            <w:tcBorders>
              <w:top w:val="nil"/>
              <w:left w:val="nil"/>
              <w:bottom w:val="nil"/>
              <w:right w:val="nil"/>
            </w:tcBorders>
            <w:shd w:val="clear" w:color="000000" w:fill="92CDDC"/>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r w:rsidRPr="004F67B1">
              <w:rPr>
                <w:rFonts w:eastAsia="Times New Roman" w:cs="Times New Roman"/>
                <w:color w:val="000000"/>
                <w:sz w:val="18"/>
                <w:szCs w:val="18"/>
              </w:rPr>
              <w:br/>
              <w:t>(40 sec)</w:t>
            </w:r>
          </w:p>
        </w:tc>
        <w:tc>
          <w:tcPr>
            <w:tcW w:w="720" w:type="dxa"/>
            <w:tcBorders>
              <w:top w:val="nil"/>
              <w:left w:val="nil"/>
              <w:bottom w:val="nil"/>
              <w:right w:val="nil"/>
            </w:tcBorders>
            <w:shd w:val="clear" w:color="000000" w:fill="92D050"/>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Best</w:t>
            </w:r>
            <w:r w:rsidRPr="004F67B1">
              <w:rPr>
                <w:rFonts w:eastAsia="Times New Roman" w:cs="Times New Roman"/>
                <w:color w:val="000000"/>
                <w:sz w:val="18"/>
                <w:szCs w:val="18"/>
              </w:rPr>
              <w:br/>
              <w:t>(1 sec)</w:t>
            </w:r>
          </w:p>
        </w:tc>
      </w:tr>
      <w:tr w:rsidR="00BB4581" w:rsidRPr="004F67B1" w:rsidTr="00BB4581">
        <w:trPr>
          <w:trHeight w:val="465"/>
        </w:trPr>
        <w:tc>
          <w:tcPr>
            <w:tcW w:w="2380" w:type="dxa"/>
            <w:tcBorders>
              <w:top w:val="nil"/>
              <w:left w:val="nil"/>
              <w:bottom w:val="nil"/>
              <w:right w:val="nil"/>
            </w:tcBorders>
            <w:shd w:val="clear" w:color="auto" w:fill="auto"/>
            <w:vAlign w:val="bottom"/>
            <w:hideMark/>
          </w:tcPr>
          <w:p w:rsidR="00BB4581" w:rsidRPr="004F67B1" w:rsidRDefault="00BB4581" w:rsidP="00672A78">
            <w:pPr>
              <w:spacing w:after="0" w:line="240" w:lineRule="auto"/>
              <w:rPr>
                <w:rFonts w:eastAsia="Times New Roman" w:cs="Times New Roman"/>
                <w:b/>
                <w:bCs/>
                <w:color w:val="000000"/>
                <w:sz w:val="18"/>
                <w:szCs w:val="18"/>
              </w:rPr>
            </w:pPr>
            <w:r w:rsidRPr="004F67B1">
              <w:rPr>
                <w:rFonts w:eastAsia="Times New Roman" w:cs="Times New Roman"/>
                <w:b/>
                <w:bCs/>
                <w:color w:val="000000"/>
                <w:sz w:val="18"/>
                <w:szCs w:val="18"/>
              </w:rPr>
              <w:t>HD Movie</w:t>
            </w:r>
            <w:r w:rsidRPr="004F67B1">
              <w:rPr>
                <w:rFonts w:eastAsia="Times New Roman" w:cs="Times New Roman"/>
                <w:b/>
                <w:bCs/>
                <w:color w:val="000000"/>
                <w:sz w:val="18"/>
                <w:szCs w:val="18"/>
              </w:rPr>
              <w:br/>
              <w:t>Download (5GB)</w:t>
            </w:r>
          </w:p>
        </w:tc>
        <w:tc>
          <w:tcPr>
            <w:tcW w:w="880" w:type="dxa"/>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r w:rsidRPr="004F67B1">
              <w:rPr>
                <w:rFonts w:eastAsia="Times New Roman" w:cs="Times New Roman"/>
                <w:color w:val="000000"/>
                <w:sz w:val="18"/>
                <w:szCs w:val="18"/>
              </w:rPr>
              <w:br/>
              <w:t>(9 days)</w:t>
            </w:r>
          </w:p>
        </w:tc>
        <w:tc>
          <w:tcPr>
            <w:tcW w:w="900" w:type="dxa"/>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r w:rsidRPr="004F67B1">
              <w:rPr>
                <w:rFonts w:eastAsia="Times New Roman" w:cs="Times New Roman"/>
                <w:color w:val="000000"/>
                <w:sz w:val="18"/>
                <w:szCs w:val="18"/>
              </w:rPr>
              <w:br/>
              <w:t xml:space="preserve">(15 </w:t>
            </w:r>
            <w:proofErr w:type="spellStart"/>
            <w:r w:rsidRPr="004F67B1">
              <w:rPr>
                <w:rFonts w:eastAsia="Times New Roman" w:cs="Times New Roman"/>
                <w:color w:val="000000"/>
                <w:sz w:val="18"/>
                <w:szCs w:val="18"/>
              </w:rPr>
              <w:t>hrs</w:t>
            </w:r>
            <w:proofErr w:type="spellEnd"/>
            <w:r w:rsidRPr="004F67B1">
              <w:rPr>
                <w:rFonts w:eastAsia="Times New Roman" w:cs="Times New Roman"/>
                <w:color w:val="000000"/>
                <w:sz w:val="18"/>
                <w:szCs w:val="18"/>
              </w:rPr>
              <w:t>)</w:t>
            </w:r>
          </w:p>
        </w:tc>
        <w:tc>
          <w:tcPr>
            <w:tcW w:w="900" w:type="dxa"/>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r w:rsidRPr="004F67B1">
              <w:rPr>
                <w:rFonts w:eastAsia="Times New Roman" w:cs="Times New Roman"/>
                <w:color w:val="000000"/>
                <w:sz w:val="18"/>
                <w:szCs w:val="18"/>
              </w:rPr>
              <w:br/>
              <w:t xml:space="preserve">(12 </w:t>
            </w:r>
            <w:proofErr w:type="spellStart"/>
            <w:r w:rsidRPr="004F67B1">
              <w:rPr>
                <w:rFonts w:eastAsia="Times New Roman" w:cs="Times New Roman"/>
                <w:color w:val="000000"/>
                <w:sz w:val="18"/>
                <w:szCs w:val="18"/>
              </w:rPr>
              <w:t>hrs</w:t>
            </w:r>
            <w:proofErr w:type="spellEnd"/>
            <w:r w:rsidRPr="004F67B1">
              <w:rPr>
                <w:rFonts w:eastAsia="Times New Roman" w:cs="Times New Roman"/>
                <w:color w:val="000000"/>
                <w:sz w:val="18"/>
                <w:szCs w:val="18"/>
              </w:rPr>
              <w:t>)</w:t>
            </w:r>
          </w:p>
        </w:tc>
        <w:tc>
          <w:tcPr>
            <w:tcW w:w="900" w:type="dxa"/>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r w:rsidRPr="004F67B1">
              <w:rPr>
                <w:rFonts w:eastAsia="Times New Roman" w:cs="Times New Roman"/>
                <w:color w:val="000000"/>
                <w:sz w:val="18"/>
                <w:szCs w:val="18"/>
              </w:rPr>
              <w:br/>
              <w:t>(67 min)</w:t>
            </w:r>
          </w:p>
        </w:tc>
        <w:tc>
          <w:tcPr>
            <w:tcW w:w="900" w:type="dxa"/>
            <w:tcBorders>
              <w:top w:val="nil"/>
              <w:left w:val="nil"/>
              <w:bottom w:val="nil"/>
              <w:right w:val="nil"/>
            </w:tcBorders>
            <w:shd w:val="clear" w:color="000000" w:fill="FCD5B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OK</w:t>
            </w:r>
            <w:r w:rsidRPr="004F67B1">
              <w:rPr>
                <w:rFonts w:eastAsia="Times New Roman" w:cs="Times New Roman"/>
                <w:color w:val="000000"/>
                <w:sz w:val="18"/>
                <w:szCs w:val="18"/>
              </w:rPr>
              <w:br/>
              <w:t>(34 min)</w:t>
            </w:r>
          </w:p>
        </w:tc>
        <w:tc>
          <w:tcPr>
            <w:tcW w:w="880" w:type="dxa"/>
            <w:tcBorders>
              <w:top w:val="nil"/>
              <w:left w:val="nil"/>
              <w:bottom w:val="nil"/>
              <w:right w:val="nil"/>
            </w:tcBorders>
            <w:shd w:val="clear" w:color="000000" w:fill="92CDDC"/>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r w:rsidRPr="004F67B1">
              <w:rPr>
                <w:rFonts w:eastAsia="Times New Roman" w:cs="Times New Roman"/>
                <w:color w:val="000000"/>
                <w:sz w:val="18"/>
                <w:szCs w:val="18"/>
              </w:rPr>
              <w:br/>
              <w:t>(14 min)</w:t>
            </w:r>
          </w:p>
        </w:tc>
        <w:tc>
          <w:tcPr>
            <w:tcW w:w="940" w:type="dxa"/>
            <w:tcBorders>
              <w:top w:val="nil"/>
              <w:left w:val="nil"/>
              <w:bottom w:val="nil"/>
              <w:right w:val="nil"/>
            </w:tcBorders>
            <w:shd w:val="clear" w:color="000000" w:fill="92CDDC"/>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r w:rsidRPr="004F67B1">
              <w:rPr>
                <w:rFonts w:eastAsia="Times New Roman" w:cs="Times New Roman"/>
                <w:color w:val="000000"/>
                <w:sz w:val="18"/>
                <w:szCs w:val="18"/>
              </w:rPr>
              <w:br/>
              <w:t>(7 min)</w:t>
            </w:r>
          </w:p>
        </w:tc>
        <w:tc>
          <w:tcPr>
            <w:tcW w:w="720" w:type="dxa"/>
            <w:tcBorders>
              <w:top w:val="nil"/>
              <w:left w:val="nil"/>
              <w:bottom w:val="nil"/>
              <w:right w:val="nil"/>
            </w:tcBorders>
            <w:shd w:val="clear" w:color="000000" w:fill="92D050"/>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Best</w:t>
            </w:r>
            <w:r w:rsidRPr="004F67B1">
              <w:rPr>
                <w:rFonts w:eastAsia="Times New Roman" w:cs="Times New Roman"/>
                <w:color w:val="000000"/>
                <w:sz w:val="18"/>
                <w:szCs w:val="18"/>
              </w:rPr>
              <w:br/>
              <w:t>40 sec)</w:t>
            </w:r>
          </w:p>
        </w:tc>
      </w:tr>
      <w:tr w:rsidR="00BB4581" w:rsidRPr="004F67B1" w:rsidTr="00BB4581">
        <w:trPr>
          <w:trHeight w:val="300"/>
        </w:trPr>
        <w:tc>
          <w:tcPr>
            <w:tcW w:w="2380" w:type="dxa"/>
            <w:tcBorders>
              <w:top w:val="nil"/>
              <w:left w:val="nil"/>
              <w:bottom w:val="nil"/>
              <w:right w:val="nil"/>
            </w:tcBorders>
            <w:shd w:val="clear" w:color="auto" w:fill="auto"/>
            <w:vAlign w:val="bottom"/>
            <w:hideMark/>
          </w:tcPr>
          <w:p w:rsidR="00BB4581" w:rsidRPr="004F67B1" w:rsidRDefault="00BB4581" w:rsidP="00672A78">
            <w:pPr>
              <w:spacing w:after="0" w:line="240" w:lineRule="auto"/>
              <w:rPr>
                <w:rFonts w:eastAsia="Times New Roman" w:cs="Times New Roman"/>
                <w:b/>
                <w:bCs/>
                <w:color w:val="000000"/>
                <w:sz w:val="18"/>
                <w:szCs w:val="18"/>
              </w:rPr>
            </w:pPr>
            <w:r w:rsidRPr="004F67B1">
              <w:rPr>
                <w:rFonts w:eastAsia="Times New Roman" w:cs="Times New Roman"/>
                <w:b/>
                <w:bCs/>
                <w:color w:val="000000"/>
                <w:sz w:val="18"/>
                <w:szCs w:val="18"/>
              </w:rPr>
              <w:t>Skype Video Call</w:t>
            </w:r>
          </w:p>
        </w:tc>
        <w:tc>
          <w:tcPr>
            <w:tcW w:w="880" w:type="dxa"/>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p>
        </w:tc>
        <w:tc>
          <w:tcPr>
            <w:tcW w:w="900" w:type="dxa"/>
            <w:tcBorders>
              <w:top w:val="nil"/>
              <w:left w:val="nil"/>
              <w:bottom w:val="nil"/>
              <w:right w:val="nil"/>
            </w:tcBorders>
            <w:shd w:val="clear" w:color="000000" w:fill="FCD5B4"/>
            <w:noWrap/>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OK</w:t>
            </w:r>
          </w:p>
        </w:tc>
        <w:tc>
          <w:tcPr>
            <w:tcW w:w="900" w:type="dxa"/>
            <w:tcBorders>
              <w:top w:val="nil"/>
              <w:left w:val="nil"/>
              <w:bottom w:val="nil"/>
              <w:right w:val="nil"/>
            </w:tcBorders>
            <w:shd w:val="clear" w:color="000000" w:fill="92CDDC"/>
            <w:noWrap/>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p>
        </w:tc>
        <w:tc>
          <w:tcPr>
            <w:tcW w:w="4340" w:type="dxa"/>
            <w:gridSpan w:val="5"/>
            <w:tcBorders>
              <w:top w:val="nil"/>
              <w:left w:val="nil"/>
              <w:bottom w:val="nil"/>
              <w:right w:val="nil"/>
            </w:tcBorders>
            <w:shd w:val="clear" w:color="000000" w:fill="92D050"/>
            <w:noWrap/>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Best</w:t>
            </w:r>
          </w:p>
        </w:tc>
      </w:tr>
      <w:tr w:rsidR="00BB4581" w:rsidRPr="004F67B1" w:rsidTr="00BB4581">
        <w:trPr>
          <w:trHeight w:val="300"/>
        </w:trPr>
        <w:tc>
          <w:tcPr>
            <w:tcW w:w="2380" w:type="dxa"/>
            <w:tcBorders>
              <w:top w:val="nil"/>
              <w:left w:val="nil"/>
              <w:bottom w:val="nil"/>
              <w:right w:val="nil"/>
            </w:tcBorders>
            <w:shd w:val="clear" w:color="auto" w:fill="auto"/>
            <w:vAlign w:val="bottom"/>
            <w:hideMark/>
          </w:tcPr>
          <w:p w:rsidR="00BB4581" w:rsidRPr="004F67B1" w:rsidRDefault="00BB4581" w:rsidP="00672A78">
            <w:pPr>
              <w:spacing w:after="0" w:line="240" w:lineRule="auto"/>
              <w:rPr>
                <w:rFonts w:eastAsia="Times New Roman" w:cs="Times New Roman"/>
                <w:b/>
                <w:bCs/>
                <w:color w:val="000000"/>
                <w:sz w:val="18"/>
                <w:szCs w:val="18"/>
              </w:rPr>
            </w:pPr>
            <w:r w:rsidRPr="004F67B1">
              <w:rPr>
                <w:rFonts w:eastAsia="Times New Roman" w:cs="Times New Roman"/>
                <w:b/>
                <w:bCs/>
                <w:color w:val="000000"/>
                <w:sz w:val="18"/>
                <w:szCs w:val="18"/>
              </w:rPr>
              <w:t>Stream HD Video</w:t>
            </w:r>
          </w:p>
        </w:tc>
        <w:tc>
          <w:tcPr>
            <w:tcW w:w="1780" w:type="dxa"/>
            <w:gridSpan w:val="2"/>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p>
        </w:tc>
        <w:tc>
          <w:tcPr>
            <w:tcW w:w="900" w:type="dxa"/>
            <w:tcBorders>
              <w:top w:val="nil"/>
              <w:left w:val="nil"/>
              <w:bottom w:val="nil"/>
              <w:right w:val="nil"/>
            </w:tcBorders>
            <w:shd w:val="clear" w:color="000000" w:fill="FCD5B4"/>
            <w:noWrap/>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OK</w:t>
            </w:r>
          </w:p>
        </w:tc>
        <w:tc>
          <w:tcPr>
            <w:tcW w:w="900" w:type="dxa"/>
            <w:tcBorders>
              <w:top w:val="nil"/>
              <w:left w:val="nil"/>
              <w:bottom w:val="nil"/>
              <w:right w:val="nil"/>
            </w:tcBorders>
            <w:shd w:val="clear" w:color="000000" w:fill="92CDDC"/>
            <w:noWrap/>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p>
        </w:tc>
        <w:tc>
          <w:tcPr>
            <w:tcW w:w="3440" w:type="dxa"/>
            <w:gridSpan w:val="4"/>
            <w:tcBorders>
              <w:top w:val="nil"/>
              <w:left w:val="nil"/>
              <w:bottom w:val="nil"/>
              <w:right w:val="nil"/>
            </w:tcBorders>
            <w:shd w:val="clear" w:color="000000" w:fill="92D050"/>
            <w:noWrap/>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Best</w:t>
            </w:r>
          </w:p>
        </w:tc>
      </w:tr>
      <w:tr w:rsidR="00BB4581" w:rsidRPr="004F67B1" w:rsidTr="00BB4581">
        <w:trPr>
          <w:trHeight w:val="300"/>
        </w:trPr>
        <w:tc>
          <w:tcPr>
            <w:tcW w:w="23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rPr>
            </w:pPr>
          </w:p>
        </w:tc>
        <w:tc>
          <w:tcPr>
            <w:tcW w:w="8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rPr>
            </w:pP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rPr>
            </w:pP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rPr>
            </w:pP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rPr>
            </w:pP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rPr>
            </w:pPr>
          </w:p>
        </w:tc>
        <w:tc>
          <w:tcPr>
            <w:tcW w:w="8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rPr>
            </w:pPr>
          </w:p>
        </w:tc>
        <w:tc>
          <w:tcPr>
            <w:tcW w:w="94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rPr>
            </w:pPr>
          </w:p>
        </w:tc>
        <w:tc>
          <w:tcPr>
            <w:tcW w:w="72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rPr>
            </w:pPr>
          </w:p>
        </w:tc>
      </w:tr>
      <w:tr w:rsidR="00BB4581" w:rsidRPr="004F67B1" w:rsidTr="00BB4581">
        <w:trPr>
          <w:trHeight w:val="300"/>
        </w:trPr>
        <w:tc>
          <w:tcPr>
            <w:tcW w:w="9400" w:type="dxa"/>
            <w:gridSpan w:val="9"/>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u w:val="single"/>
              </w:rPr>
            </w:pPr>
            <w:r w:rsidRPr="004F67B1">
              <w:rPr>
                <w:rFonts w:eastAsia="Times New Roman" w:cs="Times New Roman"/>
                <w:color w:val="000000"/>
                <w:u w:val="single"/>
              </w:rPr>
              <w:t>Bandwidth Needs of Institutional Broadband Applications</w:t>
            </w:r>
          </w:p>
          <w:p w:rsidR="00BB4581" w:rsidRPr="004F67B1" w:rsidRDefault="00BB4581" w:rsidP="00EB0173">
            <w:pPr>
              <w:spacing w:after="0" w:line="240" w:lineRule="auto"/>
              <w:jc w:val="both"/>
              <w:rPr>
                <w:rFonts w:eastAsia="Times New Roman" w:cs="Times New Roman"/>
                <w:color w:val="000000"/>
                <w:sz w:val="18"/>
                <w:szCs w:val="18"/>
                <w:u w:val="single"/>
              </w:rPr>
            </w:pPr>
          </w:p>
        </w:tc>
      </w:tr>
      <w:tr w:rsidR="00BB4581" w:rsidRPr="004F67B1" w:rsidTr="00BB4581">
        <w:trPr>
          <w:trHeight w:val="300"/>
        </w:trPr>
        <w:tc>
          <w:tcPr>
            <w:tcW w:w="23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u w:val="single"/>
              </w:rPr>
            </w:pPr>
          </w:p>
        </w:tc>
        <w:tc>
          <w:tcPr>
            <w:tcW w:w="8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u w:val="single"/>
              </w:rPr>
            </w:pP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u w:val="single"/>
              </w:rPr>
            </w:pP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u w:val="single"/>
              </w:rPr>
            </w:pP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u w:val="single"/>
              </w:rPr>
            </w:pP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u w:val="single"/>
              </w:rPr>
            </w:pPr>
          </w:p>
        </w:tc>
        <w:tc>
          <w:tcPr>
            <w:tcW w:w="2540" w:type="dxa"/>
            <w:gridSpan w:val="3"/>
            <w:tcBorders>
              <w:top w:val="nil"/>
              <w:left w:val="nil"/>
              <w:bottom w:val="nil"/>
              <w:right w:val="nil"/>
            </w:tcBorders>
            <w:shd w:val="clear" w:color="000000" w:fill="D9D9D9"/>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ADEQUATE</w:t>
            </w:r>
          </w:p>
        </w:tc>
      </w:tr>
      <w:tr w:rsidR="00BB4581" w:rsidRPr="004F67B1" w:rsidTr="00BB4581">
        <w:trPr>
          <w:trHeight w:val="300"/>
        </w:trPr>
        <w:tc>
          <w:tcPr>
            <w:tcW w:w="23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color w:val="000000"/>
                <w:sz w:val="18"/>
                <w:szCs w:val="18"/>
              </w:rPr>
            </w:pPr>
          </w:p>
        </w:tc>
        <w:tc>
          <w:tcPr>
            <w:tcW w:w="8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56Kbps</w:t>
            </w: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768Kbps</w:t>
            </w: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1Mbps</w:t>
            </w: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10Mbps</w:t>
            </w:r>
          </w:p>
        </w:tc>
        <w:tc>
          <w:tcPr>
            <w:tcW w:w="90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20Mbps</w:t>
            </w:r>
          </w:p>
        </w:tc>
        <w:tc>
          <w:tcPr>
            <w:tcW w:w="88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50Mbps</w:t>
            </w:r>
          </w:p>
        </w:tc>
        <w:tc>
          <w:tcPr>
            <w:tcW w:w="94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100Mbps</w:t>
            </w:r>
          </w:p>
        </w:tc>
        <w:tc>
          <w:tcPr>
            <w:tcW w:w="720" w:type="dxa"/>
            <w:tcBorders>
              <w:top w:val="nil"/>
              <w:left w:val="nil"/>
              <w:bottom w:val="nil"/>
              <w:right w:val="nil"/>
            </w:tcBorders>
            <w:shd w:val="clear" w:color="auto" w:fill="auto"/>
            <w:noWrap/>
            <w:vAlign w:val="bottom"/>
            <w:hideMark/>
          </w:tcPr>
          <w:p w:rsidR="00BB4581" w:rsidRPr="004F67B1" w:rsidRDefault="00BB4581" w:rsidP="00EB0173">
            <w:pPr>
              <w:spacing w:after="0" w:line="240" w:lineRule="auto"/>
              <w:jc w:val="both"/>
              <w:rPr>
                <w:rFonts w:eastAsia="Times New Roman" w:cs="Times New Roman"/>
                <w:b/>
                <w:bCs/>
                <w:color w:val="000000"/>
                <w:sz w:val="18"/>
                <w:szCs w:val="18"/>
              </w:rPr>
            </w:pPr>
            <w:r w:rsidRPr="004F67B1">
              <w:rPr>
                <w:rFonts w:eastAsia="Times New Roman" w:cs="Times New Roman"/>
                <w:b/>
                <w:bCs/>
                <w:color w:val="000000"/>
                <w:sz w:val="18"/>
                <w:szCs w:val="18"/>
              </w:rPr>
              <w:t>1Gbps</w:t>
            </w:r>
          </w:p>
        </w:tc>
      </w:tr>
      <w:tr w:rsidR="00BB4581" w:rsidRPr="004F67B1" w:rsidTr="00BB4581">
        <w:trPr>
          <w:trHeight w:val="465"/>
        </w:trPr>
        <w:tc>
          <w:tcPr>
            <w:tcW w:w="2380" w:type="dxa"/>
            <w:tcBorders>
              <w:top w:val="nil"/>
              <w:left w:val="nil"/>
              <w:bottom w:val="nil"/>
              <w:right w:val="nil"/>
            </w:tcBorders>
            <w:shd w:val="clear" w:color="auto" w:fill="auto"/>
            <w:vAlign w:val="bottom"/>
            <w:hideMark/>
          </w:tcPr>
          <w:p w:rsidR="00BB4581" w:rsidRPr="004F67B1" w:rsidRDefault="00BB4581" w:rsidP="00672A78">
            <w:pPr>
              <w:spacing w:after="0" w:line="240" w:lineRule="auto"/>
              <w:rPr>
                <w:rFonts w:eastAsia="Times New Roman" w:cs="Times New Roman"/>
                <w:b/>
                <w:bCs/>
                <w:color w:val="000000"/>
                <w:sz w:val="18"/>
                <w:szCs w:val="18"/>
              </w:rPr>
            </w:pPr>
            <w:r w:rsidRPr="004F67B1">
              <w:rPr>
                <w:rFonts w:eastAsia="Times New Roman" w:cs="Times New Roman"/>
                <w:b/>
                <w:bCs/>
                <w:color w:val="000000"/>
                <w:sz w:val="18"/>
                <w:szCs w:val="18"/>
              </w:rPr>
              <w:t>Video Conference</w:t>
            </w:r>
            <w:r w:rsidRPr="004F67B1">
              <w:rPr>
                <w:rFonts w:eastAsia="Times New Roman" w:cs="Times New Roman"/>
                <w:b/>
                <w:bCs/>
                <w:color w:val="000000"/>
                <w:sz w:val="18"/>
                <w:szCs w:val="18"/>
              </w:rPr>
              <w:br/>
              <w:t>Between Two Users</w:t>
            </w:r>
          </w:p>
        </w:tc>
        <w:tc>
          <w:tcPr>
            <w:tcW w:w="880" w:type="dxa"/>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p>
        </w:tc>
        <w:tc>
          <w:tcPr>
            <w:tcW w:w="1800" w:type="dxa"/>
            <w:gridSpan w:val="2"/>
            <w:tcBorders>
              <w:top w:val="nil"/>
              <w:left w:val="nil"/>
              <w:bottom w:val="nil"/>
              <w:right w:val="nil"/>
            </w:tcBorders>
            <w:shd w:val="clear" w:color="000000" w:fill="FCD5B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OK</w:t>
            </w:r>
          </w:p>
        </w:tc>
        <w:tc>
          <w:tcPr>
            <w:tcW w:w="900" w:type="dxa"/>
            <w:tcBorders>
              <w:top w:val="nil"/>
              <w:left w:val="nil"/>
              <w:bottom w:val="nil"/>
              <w:right w:val="nil"/>
            </w:tcBorders>
            <w:shd w:val="clear" w:color="000000" w:fill="92CDDC"/>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p>
        </w:tc>
        <w:tc>
          <w:tcPr>
            <w:tcW w:w="3440" w:type="dxa"/>
            <w:gridSpan w:val="4"/>
            <w:tcBorders>
              <w:top w:val="nil"/>
              <w:left w:val="nil"/>
              <w:bottom w:val="nil"/>
              <w:right w:val="nil"/>
            </w:tcBorders>
            <w:shd w:val="clear" w:color="000000" w:fill="92D050"/>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Best</w:t>
            </w:r>
          </w:p>
        </w:tc>
      </w:tr>
      <w:tr w:rsidR="00BB4581" w:rsidRPr="004F67B1" w:rsidTr="00BB4581">
        <w:trPr>
          <w:trHeight w:val="465"/>
        </w:trPr>
        <w:tc>
          <w:tcPr>
            <w:tcW w:w="2380" w:type="dxa"/>
            <w:tcBorders>
              <w:top w:val="nil"/>
              <w:left w:val="nil"/>
              <w:bottom w:val="nil"/>
              <w:right w:val="nil"/>
            </w:tcBorders>
            <w:shd w:val="clear" w:color="auto" w:fill="auto"/>
            <w:vAlign w:val="bottom"/>
            <w:hideMark/>
          </w:tcPr>
          <w:p w:rsidR="00BB4581" w:rsidRPr="004F67B1" w:rsidRDefault="00BB4581" w:rsidP="00672A78">
            <w:pPr>
              <w:spacing w:after="0" w:line="240" w:lineRule="auto"/>
              <w:rPr>
                <w:rFonts w:eastAsia="Times New Roman" w:cs="Times New Roman"/>
                <w:b/>
                <w:bCs/>
                <w:color w:val="000000"/>
                <w:sz w:val="18"/>
                <w:szCs w:val="18"/>
              </w:rPr>
            </w:pPr>
            <w:r w:rsidRPr="004F67B1">
              <w:rPr>
                <w:rFonts w:eastAsia="Times New Roman" w:cs="Times New Roman"/>
                <w:b/>
                <w:bCs/>
                <w:color w:val="000000"/>
                <w:sz w:val="18"/>
                <w:szCs w:val="18"/>
              </w:rPr>
              <w:t>Online Higher</w:t>
            </w:r>
            <w:r w:rsidRPr="004F67B1">
              <w:rPr>
                <w:rFonts w:eastAsia="Times New Roman" w:cs="Times New Roman"/>
                <w:b/>
                <w:bCs/>
                <w:color w:val="000000"/>
                <w:sz w:val="18"/>
                <w:szCs w:val="18"/>
              </w:rPr>
              <w:br/>
              <w:t>Education Courses</w:t>
            </w:r>
          </w:p>
        </w:tc>
        <w:tc>
          <w:tcPr>
            <w:tcW w:w="2680" w:type="dxa"/>
            <w:gridSpan w:val="3"/>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p>
        </w:tc>
        <w:tc>
          <w:tcPr>
            <w:tcW w:w="900" w:type="dxa"/>
            <w:tcBorders>
              <w:top w:val="nil"/>
              <w:left w:val="nil"/>
              <w:bottom w:val="nil"/>
              <w:right w:val="nil"/>
            </w:tcBorders>
            <w:shd w:val="clear" w:color="000000" w:fill="FCD5B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OK</w:t>
            </w:r>
          </w:p>
        </w:tc>
        <w:tc>
          <w:tcPr>
            <w:tcW w:w="900" w:type="dxa"/>
            <w:tcBorders>
              <w:top w:val="nil"/>
              <w:left w:val="nil"/>
              <w:bottom w:val="nil"/>
              <w:right w:val="nil"/>
            </w:tcBorders>
            <w:shd w:val="clear" w:color="000000" w:fill="92CDDC"/>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p>
        </w:tc>
        <w:tc>
          <w:tcPr>
            <w:tcW w:w="2540" w:type="dxa"/>
            <w:gridSpan w:val="3"/>
            <w:tcBorders>
              <w:top w:val="nil"/>
              <w:left w:val="nil"/>
              <w:bottom w:val="nil"/>
              <w:right w:val="nil"/>
            </w:tcBorders>
            <w:shd w:val="clear" w:color="000000" w:fill="92D050"/>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Best</w:t>
            </w:r>
          </w:p>
        </w:tc>
      </w:tr>
      <w:tr w:rsidR="00BB4581" w:rsidRPr="004F67B1" w:rsidTr="00BB4581">
        <w:trPr>
          <w:trHeight w:val="465"/>
        </w:trPr>
        <w:tc>
          <w:tcPr>
            <w:tcW w:w="2380" w:type="dxa"/>
            <w:tcBorders>
              <w:top w:val="nil"/>
              <w:left w:val="nil"/>
              <w:bottom w:val="nil"/>
              <w:right w:val="nil"/>
            </w:tcBorders>
            <w:shd w:val="clear" w:color="auto" w:fill="auto"/>
            <w:vAlign w:val="bottom"/>
            <w:hideMark/>
          </w:tcPr>
          <w:p w:rsidR="00BB4581" w:rsidRPr="004F67B1" w:rsidRDefault="00BB4581" w:rsidP="00672A78">
            <w:pPr>
              <w:spacing w:after="0" w:line="240" w:lineRule="auto"/>
              <w:rPr>
                <w:rFonts w:eastAsia="Times New Roman" w:cs="Times New Roman"/>
                <w:b/>
                <w:bCs/>
                <w:color w:val="000000"/>
                <w:sz w:val="18"/>
                <w:szCs w:val="18"/>
              </w:rPr>
            </w:pPr>
            <w:r w:rsidRPr="004F67B1">
              <w:rPr>
                <w:rFonts w:eastAsia="Times New Roman" w:cs="Times New Roman"/>
                <w:b/>
                <w:bCs/>
                <w:color w:val="000000"/>
                <w:sz w:val="18"/>
                <w:szCs w:val="18"/>
              </w:rPr>
              <w:t>Video Conference</w:t>
            </w:r>
            <w:r w:rsidRPr="004F67B1">
              <w:rPr>
                <w:rFonts w:eastAsia="Times New Roman" w:cs="Times New Roman"/>
                <w:b/>
                <w:bCs/>
                <w:color w:val="000000"/>
                <w:sz w:val="18"/>
                <w:szCs w:val="18"/>
              </w:rPr>
              <w:br/>
              <w:t>with several users</w:t>
            </w:r>
          </w:p>
        </w:tc>
        <w:tc>
          <w:tcPr>
            <w:tcW w:w="2680" w:type="dxa"/>
            <w:gridSpan w:val="3"/>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p>
        </w:tc>
        <w:tc>
          <w:tcPr>
            <w:tcW w:w="900" w:type="dxa"/>
            <w:tcBorders>
              <w:top w:val="nil"/>
              <w:left w:val="nil"/>
              <w:bottom w:val="nil"/>
              <w:right w:val="nil"/>
            </w:tcBorders>
            <w:shd w:val="clear" w:color="000000" w:fill="FCD5B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OK</w:t>
            </w:r>
          </w:p>
        </w:tc>
        <w:tc>
          <w:tcPr>
            <w:tcW w:w="900" w:type="dxa"/>
            <w:tcBorders>
              <w:top w:val="nil"/>
              <w:left w:val="nil"/>
              <w:bottom w:val="nil"/>
              <w:right w:val="nil"/>
            </w:tcBorders>
            <w:shd w:val="clear" w:color="000000" w:fill="92CDDC"/>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p>
        </w:tc>
        <w:tc>
          <w:tcPr>
            <w:tcW w:w="2540" w:type="dxa"/>
            <w:gridSpan w:val="3"/>
            <w:tcBorders>
              <w:top w:val="nil"/>
              <w:left w:val="nil"/>
              <w:bottom w:val="nil"/>
              <w:right w:val="nil"/>
            </w:tcBorders>
            <w:shd w:val="clear" w:color="000000" w:fill="92D050"/>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Best</w:t>
            </w:r>
          </w:p>
        </w:tc>
      </w:tr>
      <w:tr w:rsidR="00BB4581" w:rsidRPr="004F67B1" w:rsidTr="00BB4581">
        <w:trPr>
          <w:trHeight w:val="690"/>
        </w:trPr>
        <w:tc>
          <w:tcPr>
            <w:tcW w:w="2380" w:type="dxa"/>
            <w:tcBorders>
              <w:top w:val="nil"/>
              <w:left w:val="nil"/>
              <w:bottom w:val="nil"/>
              <w:right w:val="nil"/>
            </w:tcBorders>
            <w:shd w:val="clear" w:color="auto" w:fill="auto"/>
            <w:vAlign w:val="bottom"/>
            <w:hideMark/>
          </w:tcPr>
          <w:p w:rsidR="00BB4581" w:rsidRPr="004F67B1" w:rsidRDefault="00BB4581" w:rsidP="00672A78">
            <w:pPr>
              <w:spacing w:after="0" w:line="240" w:lineRule="auto"/>
              <w:rPr>
                <w:rFonts w:eastAsia="Times New Roman" w:cs="Times New Roman"/>
                <w:b/>
                <w:bCs/>
                <w:color w:val="000000"/>
                <w:sz w:val="18"/>
                <w:szCs w:val="18"/>
              </w:rPr>
            </w:pPr>
            <w:proofErr w:type="spellStart"/>
            <w:r w:rsidRPr="004F67B1">
              <w:rPr>
                <w:rFonts w:eastAsia="Times New Roman" w:cs="Times New Roman"/>
                <w:b/>
                <w:bCs/>
                <w:color w:val="000000"/>
                <w:sz w:val="18"/>
                <w:szCs w:val="18"/>
              </w:rPr>
              <w:t>Telehealth</w:t>
            </w:r>
            <w:proofErr w:type="spellEnd"/>
            <w:r w:rsidRPr="004F67B1">
              <w:rPr>
                <w:rFonts w:eastAsia="Times New Roman" w:cs="Times New Roman"/>
                <w:b/>
                <w:bCs/>
                <w:color w:val="000000"/>
                <w:sz w:val="18"/>
                <w:szCs w:val="18"/>
              </w:rPr>
              <w:br/>
              <w:t xml:space="preserve">(remote X-Rays, </w:t>
            </w:r>
            <w:r w:rsidRPr="004F67B1">
              <w:rPr>
                <w:rFonts w:eastAsia="Times New Roman" w:cs="Times New Roman"/>
                <w:b/>
                <w:bCs/>
                <w:color w:val="000000"/>
                <w:sz w:val="18"/>
                <w:szCs w:val="18"/>
              </w:rPr>
              <w:br/>
              <w:t>HD video consultations</w:t>
            </w:r>
          </w:p>
        </w:tc>
        <w:tc>
          <w:tcPr>
            <w:tcW w:w="4480" w:type="dxa"/>
            <w:gridSpan w:val="5"/>
            <w:tcBorders>
              <w:top w:val="nil"/>
              <w:left w:val="nil"/>
              <w:bottom w:val="nil"/>
              <w:right w:val="nil"/>
            </w:tcBorders>
            <w:shd w:val="clear" w:color="000000" w:fill="DA9694"/>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Poor</w:t>
            </w:r>
          </w:p>
        </w:tc>
        <w:tc>
          <w:tcPr>
            <w:tcW w:w="1820" w:type="dxa"/>
            <w:gridSpan w:val="2"/>
            <w:tcBorders>
              <w:top w:val="nil"/>
              <w:left w:val="nil"/>
              <w:bottom w:val="nil"/>
              <w:right w:val="nil"/>
            </w:tcBorders>
            <w:shd w:val="clear" w:color="000000" w:fill="92CDDC"/>
            <w:noWrap/>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Good</w:t>
            </w:r>
          </w:p>
        </w:tc>
        <w:tc>
          <w:tcPr>
            <w:tcW w:w="720" w:type="dxa"/>
            <w:tcBorders>
              <w:top w:val="nil"/>
              <w:left w:val="nil"/>
              <w:bottom w:val="nil"/>
              <w:right w:val="nil"/>
            </w:tcBorders>
            <w:shd w:val="clear" w:color="000000" w:fill="92D050"/>
            <w:noWrap/>
            <w:vAlign w:val="center"/>
            <w:hideMark/>
          </w:tcPr>
          <w:p w:rsidR="00BB4581" w:rsidRPr="004F67B1" w:rsidRDefault="00BB4581" w:rsidP="00EB0173">
            <w:pPr>
              <w:spacing w:after="0" w:line="240" w:lineRule="auto"/>
              <w:jc w:val="both"/>
              <w:rPr>
                <w:rFonts w:eastAsia="Times New Roman" w:cs="Times New Roman"/>
                <w:color w:val="000000"/>
                <w:sz w:val="18"/>
                <w:szCs w:val="18"/>
              </w:rPr>
            </w:pPr>
            <w:r w:rsidRPr="004F67B1">
              <w:rPr>
                <w:rFonts w:eastAsia="Times New Roman" w:cs="Times New Roman"/>
                <w:color w:val="000000"/>
                <w:sz w:val="18"/>
                <w:szCs w:val="18"/>
              </w:rPr>
              <w:t>Best</w:t>
            </w:r>
          </w:p>
        </w:tc>
      </w:tr>
    </w:tbl>
    <w:p w:rsidR="00BB4581" w:rsidRPr="00BB4581" w:rsidRDefault="00BB4581" w:rsidP="00EB0173">
      <w:pPr>
        <w:spacing w:line="240" w:lineRule="auto"/>
        <w:jc w:val="both"/>
        <w:rPr>
          <w:sz w:val="24"/>
          <w:szCs w:val="24"/>
        </w:rPr>
      </w:pPr>
    </w:p>
    <w:p w:rsidR="00BB4581" w:rsidRPr="00BB4581" w:rsidRDefault="00BB4581" w:rsidP="00EB0173">
      <w:pPr>
        <w:spacing w:line="240" w:lineRule="auto"/>
        <w:jc w:val="both"/>
        <w:rPr>
          <w:sz w:val="24"/>
          <w:szCs w:val="24"/>
        </w:rPr>
      </w:pPr>
      <w:r w:rsidRPr="00BB4581">
        <w:rPr>
          <w:sz w:val="24"/>
          <w:szCs w:val="24"/>
        </w:rPr>
        <w:t xml:space="preserve">For the purposes of analyzing areas in need of improved broadband infrastructure, NEGRC staff set a threshold of 10 Mbps and greater for individual/residential needs, which sets most applications at “Good” or better.  For institutional/business applications, a 50 Mbps and greater threshold </w:t>
      </w:r>
      <w:proofErr w:type="gramStart"/>
      <w:r w:rsidRPr="00BB4581">
        <w:rPr>
          <w:sz w:val="24"/>
          <w:szCs w:val="24"/>
        </w:rPr>
        <w:t>was</w:t>
      </w:r>
      <w:proofErr w:type="gramEnd"/>
      <w:r w:rsidRPr="00BB4581">
        <w:rPr>
          <w:sz w:val="24"/>
          <w:szCs w:val="24"/>
        </w:rPr>
        <w:t xml:space="preserve"> established.  For individual/residential applications, approximately 45% of the </w:t>
      </w:r>
      <w:r w:rsidRPr="00BB4581">
        <w:rPr>
          <w:sz w:val="24"/>
          <w:szCs w:val="24"/>
        </w:rPr>
        <w:lastRenderedPageBreak/>
        <w:t>total area, and approximately 9% of the total population, lacks adequate bandwidth access (or lacks broadband access entirely). Most areas that lack adequate broadband bandwidth are in the eastern, more rural, counties, including Elbert, Madison, Oglethorpe, Morgan, Greene, Jasper, and southern Oconee (an area between Georgia Highway 15, and US Highway 129/441, south of Watkinsville), with pockets in Barrow, Jackson, Athens-Clarke, Walton, Newton, and the remaining portion of Oconee County. For institutional/business applications, approximately 62% of the total area, and approximately 20% of the total population, lacks adequate bandwidth access (or lacks broadband access entirely). These areas are geographically similar to those lacking adequate broadband for individual/residential use, but encompass larger swaths of the counties.</w:t>
      </w:r>
    </w:p>
    <w:p w:rsidR="004F67B1" w:rsidRPr="004F67B1" w:rsidRDefault="004F67B1" w:rsidP="00EB0173">
      <w:pPr>
        <w:pStyle w:val="Caption"/>
        <w:keepNext/>
        <w:jc w:val="both"/>
        <w:rPr>
          <w:color w:val="auto"/>
        </w:rPr>
      </w:pPr>
      <w:r w:rsidRPr="004F67B1">
        <w:rPr>
          <w:color w:val="auto"/>
        </w:rPr>
        <w:t xml:space="preserve">Table </w:t>
      </w:r>
      <w:r w:rsidRPr="004F67B1">
        <w:rPr>
          <w:color w:val="auto"/>
        </w:rPr>
        <w:fldChar w:fldCharType="begin"/>
      </w:r>
      <w:r w:rsidRPr="004F67B1">
        <w:rPr>
          <w:color w:val="auto"/>
        </w:rPr>
        <w:instrText xml:space="preserve"> SEQ Table \* ARABIC </w:instrText>
      </w:r>
      <w:r w:rsidRPr="004F67B1">
        <w:rPr>
          <w:color w:val="auto"/>
        </w:rPr>
        <w:fldChar w:fldCharType="separate"/>
      </w:r>
      <w:r w:rsidR="00B91CD4">
        <w:rPr>
          <w:noProof/>
          <w:color w:val="auto"/>
        </w:rPr>
        <w:t>14</w:t>
      </w:r>
      <w:r w:rsidRPr="004F67B1">
        <w:rPr>
          <w:color w:val="auto"/>
        </w:rPr>
        <w:fldChar w:fldCharType="end"/>
      </w:r>
    </w:p>
    <w:tbl>
      <w:tblPr>
        <w:tblStyle w:val="LightShading-Accent5"/>
        <w:tblW w:w="8001" w:type="dxa"/>
        <w:tblLook w:val="04A0" w:firstRow="1" w:lastRow="0" w:firstColumn="1" w:lastColumn="0" w:noHBand="0" w:noVBand="1"/>
      </w:tblPr>
      <w:tblGrid>
        <w:gridCol w:w="1480"/>
        <w:gridCol w:w="1180"/>
        <w:gridCol w:w="1220"/>
        <w:gridCol w:w="1215"/>
        <w:gridCol w:w="1226"/>
        <w:gridCol w:w="1680"/>
      </w:tblGrid>
      <w:tr w:rsidR="004F67B1" w:rsidRPr="004F67B1" w:rsidTr="004F67B1">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480" w:type="dxa"/>
            <w:noWrap/>
            <w:hideMark/>
          </w:tcPr>
          <w:p w:rsidR="00BB4581" w:rsidRPr="004F67B1" w:rsidRDefault="00BB4581" w:rsidP="00EB0173">
            <w:pPr>
              <w:jc w:val="both"/>
              <w:rPr>
                <w:rFonts w:eastAsia="Times New Roman" w:cs="Times New Roman"/>
                <w:bCs w:val="0"/>
              </w:rPr>
            </w:pPr>
            <w:r w:rsidRPr="004F67B1">
              <w:rPr>
                <w:rFonts w:eastAsia="Times New Roman" w:cs="Times New Roman"/>
                <w:bCs w:val="0"/>
              </w:rPr>
              <w:t> </w:t>
            </w:r>
          </w:p>
        </w:tc>
        <w:tc>
          <w:tcPr>
            <w:tcW w:w="1180" w:type="dxa"/>
            <w:hideMark/>
          </w:tcPr>
          <w:p w:rsidR="00BB4581" w:rsidRPr="004F67B1" w:rsidRDefault="00BB4581"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4F67B1">
              <w:rPr>
                <w:rFonts w:eastAsia="Times New Roman" w:cs="Times New Roman"/>
                <w:bCs w:val="0"/>
              </w:rPr>
              <w:t xml:space="preserve">Total Area </w:t>
            </w:r>
            <w:r w:rsidRPr="004F67B1">
              <w:rPr>
                <w:rFonts w:eastAsia="Times New Roman" w:cs="Times New Roman"/>
                <w:bCs w:val="0"/>
              </w:rPr>
              <w:br/>
              <w:t>(sq. mi)</w:t>
            </w:r>
          </w:p>
        </w:tc>
        <w:tc>
          <w:tcPr>
            <w:tcW w:w="1220" w:type="dxa"/>
            <w:hideMark/>
          </w:tcPr>
          <w:p w:rsidR="00BB4581" w:rsidRPr="004F67B1" w:rsidRDefault="00BB4581"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4F67B1">
              <w:rPr>
                <w:rFonts w:eastAsia="Times New Roman" w:cs="Times New Roman"/>
                <w:bCs w:val="0"/>
              </w:rPr>
              <w:t xml:space="preserve">Area with </w:t>
            </w:r>
            <w:r w:rsidRPr="004F67B1">
              <w:rPr>
                <w:rFonts w:eastAsia="Times New Roman" w:cs="Times New Roman"/>
                <w:bCs w:val="0"/>
              </w:rPr>
              <w:br/>
              <w:t>Adequate</w:t>
            </w:r>
            <w:r w:rsidRPr="004F67B1">
              <w:rPr>
                <w:rFonts w:eastAsia="Times New Roman" w:cs="Times New Roman"/>
                <w:bCs w:val="0"/>
              </w:rPr>
              <w:br/>
              <w:t xml:space="preserve"> Bandwidth</w:t>
            </w:r>
            <w:r w:rsidRPr="004F67B1">
              <w:rPr>
                <w:rFonts w:eastAsia="Times New Roman" w:cs="Times New Roman"/>
                <w:bCs w:val="0"/>
              </w:rPr>
              <w:br/>
              <w:t xml:space="preserve"> (sq. mi)</w:t>
            </w:r>
          </w:p>
        </w:tc>
        <w:tc>
          <w:tcPr>
            <w:tcW w:w="1215" w:type="dxa"/>
            <w:hideMark/>
          </w:tcPr>
          <w:p w:rsidR="00BB4581" w:rsidRPr="004F67B1" w:rsidRDefault="00BB4581"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4F67B1">
              <w:rPr>
                <w:rFonts w:eastAsia="Times New Roman" w:cs="Times New Roman"/>
                <w:bCs w:val="0"/>
              </w:rPr>
              <w:t xml:space="preserve">Area </w:t>
            </w:r>
            <w:r w:rsidRPr="004F67B1">
              <w:rPr>
                <w:rFonts w:eastAsia="Times New Roman" w:cs="Times New Roman"/>
                <w:bCs w:val="0"/>
              </w:rPr>
              <w:br/>
              <w:t xml:space="preserve">Lacking </w:t>
            </w:r>
            <w:r w:rsidRPr="004F67B1">
              <w:rPr>
                <w:rFonts w:eastAsia="Times New Roman" w:cs="Times New Roman"/>
                <w:bCs w:val="0"/>
              </w:rPr>
              <w:br/>
              <w:t xml:space="preserve">Adequate </w:t>
            </w:r>
            <w:r w:rsidRPr="004F67B1">
              <w:rPr>
                <w:rFonts w:eastAsia="Times New Roman" w:cs="Times New Roman"/>
                <w:bCs w:val="0"/>
              </w:rPr>
              <w:br/>
              <w:t xml:space="preserve">Bandwidth </w:t>
            </w:r>
            <w:r w:rsidRPr="004F67B1">
              <w:rPr>
                <w:rFonts w:eastAsia="Times New Roman" w:cs="Times New Roman"/>
                <w:bCs w:val="0"/>
              </w:rPr>
              <w:br/>
              <w:t>(sq. mi)</w:t>
            </w:r>
          </w:p>
        </w:tc>
        <w:tc>
          <w:tcPr>
            <w:tcW w:w="1226" w:type="dxa"/>
            <w:hideMark/>
          </w:tcPr>
          <w:p w:rsidR="00BB4581" w:rsidRPr="004F67B1" w:rsidRDefault="00BB4581"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4F67B1">
              <w:rPr>
                <w:rFonts w:eastAsia="Times New Roman" w:cs="Times New Roman"/>
                <w:bCs w:val="0"/>
              </w:rPr>
              <w:t xml:space="preserve">Area </w:t>
            </w:r>
            <w:r w:rsidRPr="004F67B1">
              <w:rPr>
                <w:rFonts w:eastAsia="Times New Roman" w:cs="Times New Roman"/>
                <w:bCs w:val="0"/>
              </w:rPr>
              <w:br/>
              <w:t>Lacking</w:t>
            </w:r>
            <w:r w:rsidRPr="004F67B1">
              <w:rPr>
                <w:rFonts w:eastAsia="Times New Roman" w:cs="Times New Roman"/>
                <w:bCs w:val="0"/>
              </w:rPr>
              <w:br/>
            </w:r>
            <w:r w:rsidRPr="004F67B1">
              <w:rPr>
                <w:rFonts w:eastAsia="Times New Roman" w:cs="Times New Roman"/>
                <w:bCs w:val="0"/>
                <w:i/>
                <w:iCs/>
              </w:rPr>
              <w:t>Any</w:t>
            </w:r>
            <w:r w:rsidRPr="004F67B1">
              <w:rPr>
                <w:rFonts w:eastAsia="Times New Roman" w:cs="Times New Roman"/>
                <w:bCs w:val="0"/>
              </w:rPr>
              <w:t xml:space="preserve"> </w:t>
            </w:r>
            <w:r w:rsidRPr="004F67B1">
              <w:rPr>
                <w:rFonts w:eastAsia="Times New Roman" w:cs="Times New Roman"/>
                <w:bCs w:val="0"/>
              </w:rPr>
              <w:br/>
              <w:t>Broadband</w:t>
            </w:r>
            <w:r w:rsidRPr="004F67B1">
              <w:rPr>
                <w:rFonts w:eastAsia="Times New Roman" w:cs="Times New Roman"/>
                <w:bCs w:val="0"/>
              </w:rPr>
              <w:br/>
              <w:t>(sq. mi)</w:t>
            </w:r>
          </w:p>
        </w:tc>
        <w:tc>
          <w:tcPr>
            <w:tcW w:w="1680" w:type="dxa"/>
            <w:hideMark/>
          </w:tcPr>
          <w:p w:rsidR="00BB4581" w:rsidRPr="004F67B1" w:rsidRDefault="00BB4581"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4F67B1">
              <w:rPr>
                <w:rFonts w:eastAsia="Times New Roman" w:cs="Times New Roman"/>
                <w:bCs w:val="0"/>
              </w:rPr>
              <w:t xml:space="preserve">% of Area of </w:t>
            </w:r>
            <w:r w:rsidRPr="004F67B1">
              <w:rPr>
                <w:rFonts w:eastAsia="Times New Roman" w:cs="Times New Roman"/>
                <w:bCs w:val="0"/>
              </w:rPr>
              <w:br/>
              <w:t>Inadequate/</w:t>
            </w:r>
            <w:r w:rsidRPr="004F67B1">
              <w:rPr>
                <w:rFonts w:eastAsia="Times New Roman" w:cs="Times New Roman"/>
                <w:bCs w:val="0"/>
              </w:rPr>
              <w:br/>
              <w:t>No Bandwidth</w:t>
            </w:r>
          </w:p>
        </w:tc>
      </w:tr>
      <w:tr w:rsidR="00BB4581" w:rsidRPr="004F67B1" w:rsidTr="004F67B1">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480" w:type="dxa"/>
            <w:hideMark/>
          </w:tcPr>
          <w:p w:rsidR="00BB4581" w:rsidRPr="004F67B1" w:rsidRDefault="00BB4581" w:rsidP="00EB0173">
            <w:pPr>
              <w:jc w:val="both"/>
              <w:rPr>
                <w:rFonts w:eastAsia="Times New Roman" w:cs="Times New Roman"/>
                <w:b w:val="0"/>
                <w:bCs w:val="0"/>
                <w:color w:val="000000"/>
              </w:rPr>
            </w:pPr>
            <w:r w:rsidRPr="004F67B1">
              <w:rPr>
                <w:rFonts w:eastAsia="Times New Roman" w:cs="Times New Roman"/>
                <w:b w:val="0"/>
                <w:bCs w:val="0"/>
                <w:color w:val="000000"/>
              </w:rPr>
              <w:t>Individual/</w:t>
            </w:r>
            <w:r w:rsidRPr="004F67B1">
              <w:rPr>
                <w:rFonts w:eastAsia="Times New Roman" w:cs="Times New Roman"/>
                <w:b w:val="0"/>
                <w:bCs w:val="0"/>
                <w:color w:val="000000"/>
              </w:rPr>
              <w:br/>
              <w:t>Residential</w:t>
            </w:r>
            <w:r w:rsidRPr="004F67B1">
              <w:rPr>
                <w:rFonts w:eastAsia="Times New Roman" w:cs="Times New Roman"/>
                <w:b w:val="0"/>
                <w:bCs w:val="0"/>
                <w:color w:val="000000"/>
              </w:rPr>
              <w:br/>
              <w:t>Applications</w:t>
            </w:r>
          </w:p>
        </w:tc>
        <w:tc>
          <w:tcPr>
            <w:tcW w:w="1180"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r w:rsidRPr="004F67B1">
              <w:rPr>
                <w:rFonts w:eastAsia="Times New Roman" w:cs="Times New Roman"/>
                <w:bCs/>
                <w:color w:val="000000"/>
              </w:rPr>
              <w:t>3,665</w:t>
            </w:r>
          </w:p>
        </w:tc>
        <w:tc>
          <w:tcPr>
            <w:tcW w:w="1220"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r w:rsidRPr="004F67B1">
              <w:rPr>
                <w:rFonts w:eastAsia="Times New Roman" w:cs="Times New Roman"/>
                <w:bCs/>
                <w:color w:val="000000"/>
              </w:rPr>
              <w:t>2,007</w:t>
            </w:r>
          </w:p>
        </w:tc>
        <w:tc>
          <w:tcPr>
            <w:tcW w:w="1215"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r w:rsidRPr="004F67B1">
              <w:rPr>
                <w:rFonts w:eastAsia="Times New Roman" w:cs="Times New Roman"/>
                <w:bCs/>
                <w:color w:val="000000"/>
              </w:rPr>
              <w:t>1,183</w:t>
            </w:r>
          </w:p>
        </w:tc>
        <w:tc>
          <w:tcPr>
            <w:tcW w:w="1226"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r w:rsidRPr="004F67B1">
              <w:rPr>
                <w:rFonts w:eastAsia="Times New Roman" w:cs="Times New Roman"/>
                <w:bCs/>
                <w:color w:val="000000"/>
              </w:rPr>
              <w:t>476</w:t>
            </w:r>
          </w:p>
        </w:tc>
        <w:tc>
          <w:tcPr>
            <w:tcW w:w="1680" w:type="dxa"/>
            <w:noWrap/>
            <w:hideMark/>
          </w:tcPr>
          <w:p w:rsidR="00BB4581" w:rsidRPr="004F67B1"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r w:rsidRPr="004F67B1">
              <w:rPr>
                <w:rFonts w:eastAsia="Times New Roman" w:cs="Times New Roman"/>
                <w:bCs/>
                <w:color w:val="000000"/>
              </w:rPr>
              <w:t>45.3%</w:t>
            </w:r>
          </w:p>
        </w:tc>
      </w:tr>
      <w:tr w:rsidR="00BB4581" w:rsidRPr="004F67B1" w:rsidTr="004F67B1">
        <w:trPr>
          <w:trHeight w:val="675"/>
        </w:trPr>
        <w:tc>
          <w:tcPr>
            <w:cnfStyle w:val="001000000000" w:firstRow="0" w:lastRow="0" w:firstColumn="1" w:lastColumn="0" w:oddVBand="0" w:evenVBand="0" w:oddHBand="0" w:evenHBand="0" w:firstRowFirstColumn="0" w:firstRowLastColumn="0" w:lastRowFirstColumn="0" w:lastRowLastColumn="0"/>
            <w:tcW w:w="1480" w:type="dxa"/>
            <w:hideMark/>
          </w:tcPr>
          <w:p w:rsidR="00BB4581" w:rsidRPr="004F67B1" w:rsidRDefault="00BB4581" w:rsidP="00EB0173">
            <w:pPr>
              <w:jc w:val="both"/>
              <w:rPr>
                <w:rFonts w:eastAsia="Times New Roman" w:cs="Times New Roman"/>
                <w:b w:val="0"/>
                <w:bCs w:val="0"/>
                <w:color w:val="000000"/>
              </w:rPr>
            </w:pPr>
            <w:r w:rsidRPr="004F67B1">
              <w:rPr>
                <w:rFonts w:eastAsia="Times New Roman" w:cs="Times New Roman"/>
                <w:b w:val="0"/>
                <w:bCs w:val="0"/>
                <w:color w:val="000000"/>
              </w:rPr>
              <w:t>Institutional/</w:t>
            </w:r>
            <w:r w:rsidRPr="004F67B1">
              <w:rPr>
                <w:rFonts w:eastAsia="Times New Roman" w:cs="Times New Roman"/>
                <w:b w:val="0"/>
                <w:bCs w:val="0"/>
                <w:color w:val="000000"/>
              </w:rPr>
              <w:br/>
              <w:t>Business</w:t>
            </w:r>
            <w:r w:rsidRPr="004F67B1">
              <w:rPr>
                <w:rFonts w:eastAsia="Times New Roman" w:cs="Times New Roman"/>
                <w:b w:val="0"/>
                <w:bCs w:val="0"/>
                <w:color w:val="000000"/>
              </w:rPr>
              <w:br/>
              <w:t>Application</w:t>
            </w:r>
          </w:p>
        </w:tc>
        <w:tc>
          <w:tcPr>
            <w:tcW w:w="1180"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r w:rsidRPr="004F67B1">
              <w:rPr>
                <w:rFonts w:eastAsia="Times New Roman" w:cs="Times New Roman"/>
                <w:bCs/>
                <w:color w:val="000000"/>
              </w:rPr>
              <w:t>3,665</w:t>
            </w:r>
          </w:p>
        </w:tc>
        <w:tc>
          <w:tcPr>
            <w:tcW w:w="1220"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r w:rsidRPr="004F67B1">
              <w:rPr>
                <w:rFonts w:eastAsia="Times New Roman" w:cs="Times New Roman"/>
                <w:bCs/>
                <w:color w:val="000000"/>
              </w:rPr>
              <w:t>1,405</w:t>
            </w:r>
          </w:p>
        </w:tc>
        <w:tc>
          <w:tcPr>
            <w:tcW w:w="1215"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r w:rsidRPr="004F67B1">
              <w:rPr>
                <w:rFonts w:eastAsia="Times New Roman" w:cs="Times New Roman"/>
                <w:bCs/>
                <w:color w:val="000000"/>
              </w:rPr>
              <w:t>1,785</w:t>
            </w:r>
          </w:p>
        </w:tc>
        <w:tc>
          <w:tcPr>
            <w:tcW w:w="1226"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r w:rsidRPr="004F67B1">
              <w:rPr>
                <w:rFonts w:eastAsia="Times New Roman" w:cs="Times New Roman"/>
                <w:bCs/>
                <w:color w:val="000000"/>
              </w:rPr>
              <w:t>476</w:t>
            </w:r>
          </w:p>
        </w:tc>
        <w:tc>
          <w:tcPr>
            <w:tcW w:w="1680" w:type="dxa"/>
            <w:noWrap/>
            <w:hideMark/>
          </w:tcPr>
          <w:p w:rsidR="00BB4581" w:rsidRPr="004F67B1"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r w:rsidRPr="004F67B1">
              <w:rPr>
                <w:rFonts w:eastAsia="Times New Roman" w:cs="Times New Roman"/>
                <w:bCs/>
                <w:color w:val="000000"/>
              </w:rPr>
              <w:t>61.7%</w:t>
            </w:r>
          </w:p>
        </w:tc>
      </w:tr>
    </w:tbl>
    <w:p w:rsidR="00BB4581" w:rsidRPr="00BB4581" w:rsidRDefault="00BB4581" w:rsidP="00EB0173">
      <w:pPr>
        <w:spacing w:line="240" w:lineRule="auto"/>
        <w:jc w:val="both"/>
        <w:rPr>
          <w:sz w:val="24"/>
          <w:szCs w:val="24"/>
        </w:rPr>
      </w:pPr>
    </w:p>
    <w:p w:rsidR="0002348C" w:rsidRPr="0002348C" w:rsidRDefault="0002348C" w:rsidP="00EB0173">
      <w:pPr>
        <w:pStyle w:val="Caption"/>
        <w:keepNext/>
        <w:jc w:val="both"/>
        <w:rPr>
          <w:color w:val="auto"/>
        </w:rPr>
      </w:pPr>
      <w:r w:rsidRPr="0002348C">
        <w:rPr>
          <w:color w:val="auto"/>
        </w:rPr>
        <w:t xml:space="preserve">Table </w:t>
      </w:r>
      <w:r w:rsidRPr="0002348C">
        <w:rPr>
          <w:color w:val="auto"/>
        </w:rPr>
        <w:fldChar w:fldCharType="begin"/>
      </w:r>
      <w:r w:rsidRPr="0002348C">
        <w:rPr>
          <w:color w:val="auto"/>
        </w:rPr>
        <w:instrText xml:space="preserve"> SEQ Table \* ARABIC </w:instrText>
      </w:r>
      <w:r w:rsidRPr="0002348C">
        <w:rPr>
          <w:color w:val="auto"/>
        </w:rPr>
        <w:fldChar w:fldCharType="separate"/>
      </w:r>
      <w:r w:rsidR="00B91CD4">
        <w:rPr>
          <w:noProof/>
          <w:color w:val="auto"/>
        </w:rPr>
        <w:t>15</w:t>
      </w:r>
      <w:r w:rsidRPr="0002348C">
        <w:rPr>
          <w:color w:val="auto"/>
        </w:rPr>
        <w:fldChar w:fldCharType="end"/>
      </w:r>
    </w:p>
    <w:tbl>
      <w:tblPr>
        <w:tblStyle w:val="LightShading-Accent5"/>
        <w:tblW w:w="8411" w:type="dxa"/>
        <w:tblLook w:val="04A0" w:firstRow="1" w:lastRow="0" w:firstColumn="1" w:lastColumn="0" w:noHBand="0" w:noVBand="1"/>
      </w:tblPr>
      <w:tblGrid>
        <w:gridCol w:w="1490"/>
        <w:gridCol w:w="1308"/>
        <w:gridCol w:w="1308"/>
        <w:gridCol w:w="1308"/>
        <w:gridCol w:w="1317"/>
        <w:gridCol w:w="1680"/>
      </w:tblGrid>
      <w:tr w:rsidR="0002348C" w:rsidRPr="0002348C" w:rsidTr="0002348C">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90" w:type="dxa"/>
            <w:noWrap/>
            <w:hideMark/>
          </w:tcPr>
          <w:p w:rsidR="00BB4581" w:rsidRPr="0002348C" w:rsidRDefault="00BB4581" w:rsidP="00EB0173">
            <w:pPr>
              <w:jc w:val="both"/>
              <w:rPr>
                <w:rFonts w:eastAsia="Times New Roman" w:cs="Times New Roman"/>
                <w:bCs w:val="0"/>
              </w:rPr>
            </w:pPr>
            <w:r w:rsidRPr="0002348C">
              <w:rPr>
                <w:rFonts w:eastAsia="Times New Roman" w:cs="Times New Roman"/>
                <w:bCs w:val="0"/>
              </w:rPr>
              <w:t> </w:t>
            </w:r>
          </w:p>
        </w:tc>
        <w:tc>
          <w:tcPr>
            <w:tcW w:w="1308" w:type="dxa"/>
            <w:hideMark/>
          </w:tcPr>
          <w:p w:rsidR="00BB4581" w:rsidRPr="0002348C" w:rsidRDefault="00BB4581"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02348C">
              <w:rPr>
                <w:rFonts w:eastAsia="Times New Roman" w:cs="Times New Roman"/>
                <w:bCs w:val="0"/>
              </w:rPr>
              <w:t xml:space="preserve">Total </w:t>
            </w:r>
            <w:r w:rsidRPr="0002348C">
              <w:rPr>
                <w:rFonts w:eastAsia="Times New Roman" w:cs="Times New Roman"/>
                <w:bCs w:val="0"/>
              </w:rPr>
              <w:br/>
              <w:t>Population</w:t>
            </w:r>
            <w:r w:rsidRPr="0002348C">
              <w:rPr>
                <w:rFonts w:eastAsia="Times New Roman" w:cs="Times New Roman"/>
                <w:bCs w:val="0"/>
              </w:rPr>
              <w:br/>
              <w:t xml:space="preserve"> (2010)</w:t>
            </w:r>
          </w:p>
        </w:tc>
        <w:tc>
          <w:tcPr>
            <w:tcW w:w="1308" w:type="dxa"/>
            <w:hideMark/>
          </w:tcPr>
          <w:p w:rsidR="00BB4581" w:rsidRPr="0002348C" w:rsidRDefault="00BB4581"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02348C">
              <w:rPr>
                <w:rFonts w:eastAsia="Times New Roman" w:cs="Times New Roman"/>
                <w:bCs w:val="0"/>
              </w:rPr>
              <w:t xml:space="preserve">Population </w:t>
            </w:r>
            <w:r w:rsidRPr="0002348C">
              <w:rPr>
                <w:rFonts w:eastAsia="Times New Roman" w:cs="Times New Roman"/>
                <w:bCs w:val="0"/>
              </w:rPr>
              <w:br/>
              <w:t>with</w:t>
            </w:r>
            <w:r w:rsidRPr="0002348C">
              <w:rPr>
                <w:rFonts w:eastAsia="Times New Roman" w:cs="Times New Roman"/>
                <w:bCs w:val="0"/>
              </w:rPr>
              <w:br/>
              <w:t xml:space="preserve">Adequate </w:t>
            </w:r>
            <w:r w:rsidRPr="0002348C">
              <w:rPr>
                <w:rFonts w:eastAsia="Times New Roman" w:cs="Times New Roman"/>
                <w:bCs w:val="0"/>
              </w:rPr>
              <w:br/>
              <w:t>Bandwidth</w:t>
            </w:r>
          </w:p>
        </w:tc>
        <w:tc>
          <w:tcPr>
            <w:tcW w:w="1308" w:type="dxa"/>
            <w:hideMark/>
          </w:tcPr>
          <w:p w:rsidR="00BB4581" w:rsidRPr="0002348C" w:rsidRDefault="00BB4581"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02348C">
              <w:rPr>
                <w:rFonts w:eastAsia="Times New Roman" w:cs="Times New Roman"/>
                <w:bCs w:val="0"/>
              </w:rPr>
              <w:t xml:space="preserve">Population </w:t>
            </w:r>
            <w:r w:rsidRPr="0002348C">
              <w:rPr>
                <w:rFonts w:eastAsia="Times New Roman" w:cs="Times New Roman"/>
                <w:bCs w:val="0"/>
              </w:rPr>
              <w:br/>
              <w:t xml:space="preserve">Lacking </w:t>
            </w:r>
            <w:r w:rsidRPr="0002348C">
              <w:rPr>
                <w:rFonts w:eastAsia="Times New Roman" w:cs="Times New Roman"/>
                <w:bCs w:val="0"/>
              </w:rPr>
              <w:br/>
              <w:t xml:space="preserve">Adequate </w:t>
            </w:r>
            <w:r w:rsidRPr="0002348C">
              <w:rPr>
                <w:rFonts w:eastAsia="Times New Roman" w:cs="Times New Roman"/>
                <w:bCs w:val="0"/>
              </w:rPr>
              <w:br/>
              <w:t>Bandwidth</w:t>
            </w:r>
          </w:p>
        </w:tc>
        <w:tc>
          <w:tcPr>
            <w:tcW w:w="1317" w:type="dxa"/>
            <w:hideMark/>
          </w:tcPr>
          <w:p w:rsidR="00BB4581" w:rsidRPr="0002348C" w:rsidRDefault="00BB4581"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02348C">
              <w:rPr>
                <w:rFonts w:eastAsia="Times New Roman" w:cs="Times New Roman"/>
                <w:bCs w:val="0"/>
              </w:rPr>
              <w:t xml:space="preserve">Population </w:t>
            </w:r>
            <w:r w:rsidRPr="0002348C">
              <w:rPr>
                <w:rFonts w:eastAsia="Times New Roman" w:cs="Times New Roman"/>
                <w:bCs w:val="0"/>
              </w:rPr>
              <w:br/>
              <w:t>Lacking</w:t>
            </w:r>
            <w:r w:rsidRPr="0002348C">
              <w:rPr>
                <w:rFonts w:eastAsia="Times New Roman" w:cs="Times New Roman"/>
                <w:bCs w:val="0"/>
              </w:rPr>
              <w:br/>
            </w:r>
            <w:r w:rsidRPr="0002348C">
              <w:rPr>
                <w:rFonts w:eastAsia="Times New Roman" w:cs="Times New Roman"/>
                <w:bCs w:val="0"/>
                <w:i/>
                <w:iCs/>
              </w:rPr>
              <w:t xml:space="preserve">Any </w:t>
            </w:r>
            <w:r w:rsidRPr="0002348C">
              <w:rPr>
                <w:rFonts w:eastAsia="Times New Roman" w:cs="Times New Roman"/>
                <w:bCs w:val="0"/>
                <w:i/>
                <w:iCs/>
              </w:rPr>
              <w:br/>
            </w:r>
            <w:r w:rsidRPr="0002348C">
              <w:rPr>
                <w:rFonts w:eastAsia="Times New Roman" w:cs="Times New Roman"/>
                <w:bCs w:val="0"/>
              </w:rPr>
              <w:t>Broadband</w:t>
            </w:r>
          </w:p>
        </w:tc>
        <w:tc>
          <w:tcPr>
            <w:tcW w:w="1680" w:type="dxa"/>
            <w:hideMark/>
          </w:tcPr>
          <w:p w:rsidR="00BB4581" w:rsidRPr="0002348C" w:rsidRDefault="00BB4581" w:rsidP="00EB017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Cs w:val="0"/>
              </w:rPr>
            </w:pPr>
            <w:r w:rsidRPr="0002348C">
              <w:rPr>
                <w:rFonts w:eastAsia="Times New Roman" w:cs="Times New Roman"/>
                <w:bCs w:val="0"/>
              </w:rPr>
              <w:t xml:space="preserve">% of Population </w:t>
            </w:r>
            <w:r w:rsidRPr="0002348C">
              <w:rPr>
                <w:rFonts w:eastAsia="Times New Roman" w:cs="Times New Roman"/>
                <w:bCs w:val="0"/>
              </w:rPr>
              <w:br/>
              <w:t xml:space="preserve">w/o Adequate or </w:t>
            </w:r>
            <w:r w:rsidRPr="0002348C">
              <w:rPr>
                <w:rFonts w:eastAsia="Times New Roman" w:cs="Times New Roman"/>
                <w:bCs w:val="0"/>
              </w:rPr>
              <w:br/>
              <w:t>No Broadband</w:t>
            </w:r>
          </w:p>
        </w:tc>
      </w:tr>
      <w:tr w:rsidR="00BB4581" w:rsidRPr="0002348C" w:rsidTr="0002348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490" w:type="dxa"/>
            <w:hideMark/>
          </w:tcPr>
          <w:p w:rsidR="00BB4581" w:rsidRPr="0002348C" w:rsidRDefault="00BB4581" w:rsidP="00EB0173">
            <w:pPr>
              <w:jc w:val="both"/>
              <w:rPr>
                <w:rFonts w:eastAsia="Times New Roman" w:cs="Times New Roman"/>
                <w:b w:val="0"/>
                <w:bCs w:val="0"/>
                <w:color w:val="000000"/>
              </w:rPr>
            </w:pPr>
            <w:r w:rsidRPr="0002348C">
              <w:rPr>
                <w:rFonts w:eastAsia="Times New Roman" w:cs="Times New Roman"/>
                <w:b w:val="0"/>
                <w:bCs w:val="0"/>
                <w:color w:val="000000"/>
              </w:rPr>
              <w:t>Individual/</w:t>
            </w:r>
            <w:r w:rsidRPr="0002348C">
              <w:rPr>
                <w:rFonts w:eastAsia="Times New Roman" w:cs="Times New Roman"/>
                <w:b w:val="0"/>
                <w:bCs w:val="0"/>
                <w:color w:val="000000"/>
              </w:rPr>
              <w:br/>
              <w:t>Residential</w:t>
            </w:r>
            <w:r w:rsidRPr="0002348C">
              <w:rPr>
                <w:rFonts w:eastAsia="Times New Roman" w:cs="Times New Roman"/>
                <w:b w:val="0"/>
                <w:bCs w:val="0"/>
                <w:color w:val="000000"/>
              </w:rPr>
              <w:br/>
              <w:t>Applications</w:t>
            </w:r>
          </w:p>
        </w:tc>
        <w:tc>
          <w:tcPr>
            <w:tcW w:w="1308" w:type="dxa"/>
            <w:noWrap/>
            <w:hideMark/>
          </w:tcPr>
          <w:p w:rsidR="00BB4581" w:rsidRPr="0002348C"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r w:rsidRPr="0002348C">
              <w:rPr>
                <w:rFonts w:eastAsia="Times New Roman" w:cs="Times New Roman"/>
                <w:bCs/>
                <w:color w:val="000000"/>
              </w:rPr>
              <w:t>574,047</w:t>
            </w:r>
          </w:p>
        </w:tc>
        <w:tc>
          <w:tcPr>
            <w:tcW w:w="1308" w:type="dxa"/>
            <w:noWrap/>
            <w:hideMark/>
          </w:tcPr>
          <w:p w:rsidR="00BB4581" w:rsidRPr="0002348C"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r w:rsidRPr="0002348C">
              <w:rPr>
                <w:rFonts w:eastAsia="Times New Roman" w:cs="Times New Roman"/>
                <w:bCs/>
                <w:color w:val="000000"/>
              </w:rPr>
              <w:t>522,714</w:t>
            </w:r>
          </w:p>
        </w:tc>
        <w:tc>
          <w:tcPr>
            <w:tcW w:w="1308" w:type="dxa"/>
            <w:noWrap/>
            <w:hideMark/>
          </w:tcPr>
          <w:p w:rsidR="00BB4581" w:rsidRPr="0002348C"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r w:rsidRPr="0002348C">
              <w:rPr>
                <w:rFonts w:eastAsia="Times New Roman" w:cs="Times New Roman"/>
                <w:bCs/>
                <w:color w:val="000000"/>
              </w:rPr>
              <w:t>45,068</w:t>
            </w:r>
          </w:p>
        </w:tc>
        <w:tc>
          <w:tcPr>
            <w:tcW w:w="1317" w:type="dxa"/>
            <w:noWrap/>
            <w:hideMark/>
          </w:tcPr>
          <w:p w:rsidR="00BB4581" w:rsidRPr="0002348C"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r w:rsidRPr="0002348C">
              <w:rPr>
                <w:rFonts w:eastAsia="Times New Roman" w:cs="Times New Roman"/>
                <w:bCs/>
                <w:color w:val="000000"/>
              </w:rPr>
              <w:t>6,265</w:t>
            </w:r>
          </w:p>
        </w:tc>
        <w:tc>
          <w:tcPr>
            <w:tcW w:w="1680" w:type="dxa"/>
            <w:noWrap/>
            <w:hideMark/>
          </w:tcPr>
          <w:p w:rsidR="00BB4581" w:rsidRPr="0002348C" w:rsidRDefault="00BB4581" w:rsidP="00EB017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r w:rsidRPr="0002348C">
              <w:rPr>
                <w:rFonts w:eastAsia="Times New Roman" w:cs="Times New Roman"/>
                <w:bCs/>
                <w:color w:val="000000"/>
              </w:rPr>
              <w:t>8.9%</w:t>
            </w:r>
          </w:p>
        </w:tc>
      </w:tr>
      <w:tr w:rsidR="00BB4581" w:rsidRPr="0002348C" w:rsidTr="0002348C">
        <w:trPr>
          <w:trHeight w:val="675"/>
        </w:trPr>
        <w:tc>
          <w:tcPr>
            <w:cnfStyle w:val="001000000000" w:firstRow="0" w:lastRow="0" w:firstColumn="1" w:lastColumn="0" w:oddVBand="0" w:evenVBand="0" w:oddHBand="0" w:evenHBand="0" w:firstRowFirstColumn="0" w:firstRowLastColumn="0" w:lastRowFirstColumn="0" w:lastRowLastColumn="0"/>
            <w:tcW w:w="1490" w:type="dxa"/>
            <w:hideMark/>
          </w:tcPr>
          <w:p w:rsidR="00BB4581" w:rsidRPr="0002348C" w:rsidRDefault="00BB4581" w:rsidP="00EB0173">
            <w:pPr>
              <w:jc w:val="both"/>
              <w:rPr>
                <w:rFonts w:eastAsia="Times New Roman" w:cs="Times New Roman"/>
                <w:b w:val="0"/>
                <w:bCs w:val="0"/>
                <w:color w:val="000000"/>
              </w:rPr>
            </w:pPr>
            <w:r w:rsidRPr="0002348C">
              <w:rPr>
                <w:rFonts w:eastAsia="Times New Roman" w:cs="Times New Roman"/>
                <w:b w:val="0"/>
                <w:bCs w:val="0"/>
                <w:color w:val="000000"/>
              </w:rPr>
              <w:t>Institutional/</w:t>
            </w:r>
            <w:r w:rsidRPr="0002348C">
              <w:rPr>
                <w:rFonts w:eastAsia="Times New Roman" w:cs="Times New Roman"/>
                <w:b w:val="0"/>
                <w:bCs w:val="0"/>
                <w:color w:val="000000"/>
              </w:rPr>
              <w:br/>
              <w:t>Business</w:t>
            </w:r>
            <w:r w:rsidRPr="0002348C">
              <w:rPr>
                <w:rFonts w:eastAsia="Times New Roman" w:cs="Times New Roman"/>
                <w:b w:val="0"/>
                <w:bCs w:val="0"/>
                <w:color w:val="000000"/>
              </w:rPr>
              <w:br/>
              <w:t>Application</w:t>
            </w:r>
          </w:p>
        </w:tc>
        <w:tc>
          <w:tcPr>
            <w:tcW w:w="1308" w:type="dxa"/>
            <w:noWrap/>
            <w:hideMark/>
          </w:tcPr>
          <w:p w:rsidR="00BB4581" w:rsidRPr="0002348C"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r w:rsidRPr="0002348C">
              <w:rPr>
                <w:rFonts w:eastAsia="Times New Roman" w:cs="Times New Roman"/>
                <w:bCs/>
                <w:color w:val="000000"/>
              </w:rPr>
              <w:t>574,047</w:t>
            </w:r>
          </w:p>
        </w:tc>
        <w:tc>
          <w:tcPr>
            <w:tcW w:w="1308" w:type="dxa"/>
            <w:noWrap/>
            <w:hideMark/>
          </w:tcPr>
          <w:p w:rsidR="00BB4581" w:rsidRPr="0002348C"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r w:rsidRPr="0002348C">
              <w:rPr>
                <w:rFonts w:eastAsia="Times New Roman" w:cs="Times New Roman"/>
                <w:bCs/>
                <w:color w:val="000000"/>
              </w:rPr>
              <w:t>457,711</w:t>
            </w:r>
          </w:p>
        </w:tc>
        <w:tc>
          <w:tcPr>
            <w:tcW w:w="1308" w:type="dxa"/>
            <w:noWrap/>
            <w:hideMark/>
          </w:tcPr>
          <w:p w:rsidR="00BB4581" w:rsidRPr="0002348C"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r w:rsidRPr="0002348C">
              <w:rPr>
                <w:rFonts w:eastAsia="Times New Roman" w:cs="Times New Roman"/>
                <w:bCs/>
                <w:color w:val="000000"/>
              </w:rPr>
              <w:t>110,071</w:t>
            </w:r>
          </w:p>
        </w:tc>
        <w:tc>
          <w:tcPr>
            <w:tcW w:w="1317" w:type="dxa"/>
            <w:noWrap/>
            <w:hideMark/>
          </w:tcPr>
          <w:p w:rsidR="00BB4581" w:rsidRPr="0002348C"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r w:rsidRPr="0002348C">
              <w:rPr>
                <w:rFonts w:eastAsia="Times New Roman" w:cs="Times New Roman"/>
                <w:bCs/>
                <w:color w:val="000000"/>
              </w:rPr>
              <w:t>6,265</w:t>
            </w:r>
          </w:p>
        </w:tc>
        <w:tc>
          <w:tcPr>
            <w:tcW w:w="1680" w:type="dxa"/>
            <w:noWrap/>
            <w:hideMark/>
          </w:tcPr>
          <w:p w:rsidR="00BB4581" w:rsidRPr="0002348C" w:rsidRDefault="00BB4581" w:rsidP="00EB017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rPr>
            </w:pPr>
            <w:r w:rsidRPr="0002348C">
              <w:rPr>
                <w:rFonts w:eastAsia="Times New Roman" w:cs="Times New Roman"/>
                <w:bCs/>
                <w:color w:val="000000"/>
              </w:rPr>
              <w:t>20.3%</w:t>
            </w:r>
          </w:p>
        </w:tc>
      </w:tr>
    </w:tbl>
    <w:p w:rsidR="00BB4581" w:rsidRPr="00BB4581" w:rsidRDefault="00BB4581" w:rsidP="00EB0173">
      <w:pPr>
        <w:spacing w:line="240" w:lineRule="auto"/>
        <w:jc w:val="both"/>
        <w:rPr>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672A78">
      <w:pPr>
        <w:spacing w:line="240" w:lineRule="auto"/>
        <w:jc w:val="center"/>
        <w:rPr>
          <w:b/>
          <w:sz w:val="24"/>
          <w:szCs w:val="24"/>
        </w:rPr>
      </w:pPr>
      <w:r w:rsidRPr="00BB4581">
        <w:rPr>
          <w:b/>
          <w:sz w:val="24"/>
          <w:szCs w:val="24"/>
        </w:rPr>
        <w:t>Map 7—Adequate Broadband for Individual/Residential Applications</w:t>
      </w:r>
    </w:p>
    <w:p w:rsidR="00BB4581" w:rsidRPr="00BB4581" w:rsidRDefault="00BB4581" w:rsidP="00EB0173">
      <w:pPr>
        <w:spacing w:line="240" w:lineRule="auto"/>
        <w:jc w:val="both"/>
        <w:rPr>
          <w:noProof/>
          <w:sz w:val="24"/>
          <w:szCs w:val="24"/>
        </w:rPr>
      </w:pPr>
      <w:r w:rsidRPr="00BB4581">
        <w:rPr>
          <w:noProof/>
          <w:sz w:val="24"/>
          <w:szCs w:val="24"/>
        </w:rPr>
        <w:drawing>
          <wp:anchor distT="0" distB="0" distL="114300" distR="114300" simplePos="0" relativeHeight="251667456" behindDoc="1" locked="0" layoutInCell="1" allowOverlap="1" wp14:anchorId="60EFC7F7" wp14:editId="69D74916">
            <wp:simplePos x="0" y="0"/>
            <wp:positionH relativeFrom="column">
              <wp:posOffset>228600</wp:posOffset>
            </wp:positionH>
            <wp:positionV relativeFrom="paragraph">
              <wp:posOffset>1905</wp:posOffset>
            </wp:positionV>
            <wp:extent cx="5486400" cy="5486400"/>
            <wp:effectExtent l="0" t="0" r="0" b="0"/>
            <wp:wrapTight wrapText="bothSides">
              <wp:wrapPolygon edited="0">
                <wp:start x="0" y="0"/>
                <wp:lineTo x="0" y="21525"/>
                <wp:lineTo x="21525" y="21525"/>
                <wp:lineTo x="21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7 (Adequate BB Residential or Individual).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02348C" w:rsidRDefault="00BB4581" w:rsidP="00EB0173">
      <w:pPr>
        <w:spacing w:line="240" w:lineRule="auto"/>
        <w:jc w:val="both"/>
        <w:rPr>
          <w:sz w:val="18"/>
          <w:szCs w:val="18"/>
        </w:rPr>
      </w:pPr>
      <w:r w:rsidRPr="0002348C">
        <w:rPr>
          <w:sz w:val="18"/>
          <w:szCs w:val="18"/>
        </w:rPr>
        <w:t>Source:  Georgia Normalized Broadband Database (Dataset 8--December 2013)</w:t>
      </w: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EB0173">
      <w:pPr>
        <w:spacing w:line="240" w:lineRule="auto"/>
        <w:jc w:val="both"/>
        <w:rPr>
          <w:b/>
          <w:sz w:val="24"/>
          <w:szCs w:val="24"/>
        </w:rPr>
      </w:pPr>
    </w:p>
    <w:p w:rsidR="00BB4581" w:rsidRPr="00BB4581" w:rsidRDefault="00BB4581" w:rsidP="00672A78">
      <w:pPr>
        <w:spacing w:line="240" w:lineRule="auto"/>
        <w:jc w:val="center"/>
        <w:rPr>
          <w:b/>
          <w:sz w:val="24"/>
          <w:szCs w:val="24"/>
        </w:rPr>
      </w:pPr>
      <w:r w:rsidRPr="00BB4581">
        <w:rPr>
          <w:b/>
          <w:sz w:val="24"/>
          <w:szCs w:val="24"/>
        </w:rPr>
        <w:t>Map 8— Adequate Broadband for Institutional/Business Applications</w:t>
      </w:r>
    </w:p>
    <w:p w:rsidR="00BB4581" w:rsidRPr="00BB4581" w:rsidRDefault="00BB4581" w:rsidP="00EB0173">
      <w:pPr>
        <w:spacing w:line="240" w:lineRule="auto"/>
        <w:jc w:val="both"/>
        <w:rPr>
          <w:noProof/>
          <w:sz w:val="24"/>
          <w:szCs w:val="24"/>
        </w:rPr>
      </w:pPr>
    </w:p>
    <w:p w:rsidR="00BB4581" w:rsidRPr="00BB4581" w:rsidRDefault="00BB4581" w:rsidP="00EB0173">
      <w:pPr>
        <w:spacing w:line="240" w:lineRule="auto"/>
        <w:jc w:val="both"/>
        <w:rPr>
          <w:noProof/>
          <w:sz w:val="24"/>
          <w:szCs w:val="24"/>
        </w:rPr>
      </w:pPr>
      <w:r w:rsidRPr="00BB4581">
        <w:rPr>
          <w:noProof/>
          <w:sz w:val="24"/>
          <w:szCs w:val="24"/>
        </w:rPr>
        <w:drawing>
          <wp:anchor distT="0" distB="0" distL="114300" distR="114300" simplePos="0" relativeHeight="251668480" behindDoc="1" locked="0" layoutInCell="1" allowOverlap="1" wp14:anchorId="031BC296" wp14:editId="5B04B60E">
            <wp:simplePos x="0" y="0"/>
            <wp:positionH relativeFrom="column">
              <wp:posOffset>228600</wp:posOffset>
            </wp:positionH>
            <wp:positionV relativeFrom="paragraph">
              <wp:posOffset>3810</wp:posOffset>
            </wp:positionV>
            <wp:extent cx="5486400" cy="5486400"/>
            <wp:effectExtent l="0" t="0" r="0" b="0"/>
            <wp:wrapTight wrapText="bothSides">
              <wp:wrapPolygon edited="0">
                <wp:start x="0" y="0"/>
                <wp:lineTo x="0" y="21525"/>
                <wp:lineTo x="21525" y="21525"/>
                <wp:lineTo x="2152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8 (Adequate BB Business or Institutional).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p>
    <w:p w:rsidR="00BB4581" w:rsidRPr="00BB4581" w:rsidRDefault="00BB4581" w:rsidP="00F018BC">
      <w:pPr>
        <w:pStyle w:val="Heading1"/>
        <w:rPr>
          <w:noProof/>
        </w:rPr>
      </w:pPr>
    </w:p>
    <w:p w:rsidR="00BB4581" w:rsidRPr="0002348C" w:rsidRDefault="00BB4581" w:rsidP="00EB0173">
      <w:pPr>
        <w:spacing w:line="240" w:lineRule="auto"/>
        <w:jc w:val="both"/>
        <w:rPr>
          <w:sz w:val="18"/>
          <w:szCs w:val="18"/>
        </w:rPr>
      </w:pPr>
      <w:r w:rsidRPr="0002348C">
        <w:rPr>
          <w:sz w:val="18"/>
          <w:szCs w:val="18"/>
        </w:rPr>
        <w:t>Source:  Georgia Normalized Broadband Database (Dataset 8--December 2013)</w:t>
      </w:r>
    </w:p>
    <w:p w:rsidR="00BB4581" w:rsidRPr="0002348C" w:rsidRDefault="00BB4581" w:rsidP="00F018BC">
      <w:pPr>
        <w:pStyle w:val="Heading2"/>
        <w:rPr>
          <w:noProof/>
        </w:rPr>
      </w:pPr>
      <w:bookmarkStart w:id="25" w:name="_Toc395275942"/>
      <w:r w:rsidRPr="0002348C">
        <w:rPr>
          <w:noProof/>
        </w:rPr>
        <w:t>Key Broadband Weaknesses</w:t>
      </w:r>
      <w:bookmarkEnd w:id="25"/>
    </w:p>
    <w:p w:rsidR="00BB4581" w:rsidRPr="00BB4581" w:rsidRDefault="00BB4581" w:rsidP="00EB0173">
      <w:pPr>
        <w:spacing w:line="240" w:lineRule="auto"/>
        <w:jc w:val="both"/>
        <w:rPr>
          <w:sz w:val="24"/>
          <w:szCs w:val="24"/>
        </w:rPr>
      </w:pPr>
      <w:r w:rsidRPr="00BB4581">
        <w:rPr>
          <w:sz w:val="24"/>
          <w:szCs w:val="24"/>
        </w:rPr>
        <w:t xml:space="preserve">According to available provider data, sizable swaths—greater than 10% of the land area—of half of the counties in the region, mostly the more rural eastern counties, lack wireline broadband connectivity. Approximately 45% of all connections in the region are via DSL. Cable internet connectivity is relegated chiefly to the western, more urban, counties. There is also a lack of choice throughout the region. In most counties, there are two main competing ISPs. Similarly, there is limited choice of broadband type for businesses and residences based on </w:t>
      </w:r>
      <w:r w:rsidRPr="00BB4581">
        <w:rPr>
          <w:sz w:val="24"/>
          <w:szCs w:val="24"/>
        </w:rPr>
        <w:lastRenderedPageBreak/>
        <w:t xml:space="preserve">their location. The questionnaires indicate that there </w:t>
      </w:r>
      <w:proofErr w:type="gramStart"/>
      <w:r w:rsidRPr="00BB4581">
        <w:rPr>
          <w:sz w:val="24"/>
          <w:szCs w:val="24"/>
        </w:rPr>
        <w:t>is</w:t>
      </w:r>
      <w:proofErr w:type="gramEnd"/>
      <w:r w:rsidRPr="00BB4581">
        <w:rPr>
          <w:sz w:val="24"/>
          <w:szCs w:val="24"/>
        </w:rPr>
        <w:t xml:space="preserve"> a fair number of issues with consistency in connectivity. Fifty-one percent of business and 43% of residential respondents recently experienced non-weather related service disruptions lasting from one hour to one day. Additionally, less than half of residential respondents to the questionnaire think their internet speed is “OK” or better, while nearly one-quarter find it to be slow or “severely limiting”.</w:t>
      </w:r>
    </w:p>
    <w:p w:rsidR="00BB4581" w:rsidRPr="0002348C" w:rsidRDefault="00BB4581" w:rsidP="00F018BC">
      <w:pPr>
        <w:pStyle w:val="Heading2"/>
      </w:pPr>
      <w:bookmarkStart w:id="26" w:name="_Toc395275943"/>
      <w:r w:rsidRPr="0002348C">
        <w:t xml:space="preserve">Potential Partners for </w:t>
      </w:r>
      <w:r w:rsidRPr="00F018BC">
        <w:t>Infrastructure</w:t>
      </w:r>
      <w:bookmarkEnd w:id="26"/>
    </w:p>
    <w:p w:rsidR="00BB4581" w:rsidRPr="00BB4581" w:rsidRDefault="00BB4581" w:rsidP="00EB0173">
      <w:pPr>
        <w:spacing w:line="240" w:lineRule="auto"/>
        <w:jc w:val="both"/>
        <w:rPr>
          <w:sz w:val="24"/>
          <w:szCs w:val="24"/>
        </w:rPr>
      </w:pPr>
      <w:r w:rsidRPr="00BB4581">
        <w:rPr>
          <w:sz w:val="24"/>
          <w:szCs w:val="24"/>
        </w:rPr>
        <w:t xml:space="preserve">The </w:t>
      </w:r>
      <w:r w:rsidRPr="00BB4581">
        <w:rPr>
          <w:b/>
          <w:sz w:val="24"/>
          <w:szCs w:val="24"/>
        </w:rPr>
        <w:t>United States Department of Agriculture (USDA)</w:t>
      </w:r>
      <w:r w:rsidRPr="00BB4581">
        <w:rPr>
          <w:sz w:val="24"/>
          <w:szCs w:val="24"/>
        </w:rPr>
        <w:t xml:space="preserve"> provides several opportunities for infrastructure development in the form of grants and loans, primarily geared towards rural counties—defined as having a population of less than 35,000, seven of which are in the region as of April 2014.</w:t>
      </w:r>
      <w:r w:rsidRPr="00BB4581">
        <w:rPr>
          <w:rStyle w:val="FootnoteReference"/>
          <w:sz w:val="24"/>
          <w:szCs w:val="24"/>
        </w:rPr>
        <w:footnoteReference w:id="7"/>
      </w:r>
    </w:p>
    <w:p w:rsidR="00BB4581" w:rsidRPr="00BB4581" w:rsidRDefault="00BB4581" w:rsidP="00EB0173">
      <w:pPr>
        <w:spacing w:line="240" w:lineRule="auto"/>
        <w:jc w:val="both"/>
        <w:rPr>
          <w:sz w:val="24"/>
          <w:szCs w:val="24"/>
        </w:rPr>
      </w:pPr>
      <w:r w:rsidRPr="00BB4581">
        <w:rPr>
          <w:sz w:val="24"/>
          <w:szCs w:val="24"/>
        </w:rPr>
        <w:t xml:space="preserve">The </w:t>
      </w:r>
      <w:r w:rsidRPr="00BB4581">
        <w:rPr>
          <w:b/>
          <w:sz w:val="24"/>
          <w:szCs w:val="24"/>
        </w:rPr>
        <w:t>Georgia Department of Community Affairs (DCA)</w:t>
      </w:r>
      <w:r w:rsidRPr="00BB4581">
        <w:rPr>
          <w:sz w:val="24"/>
          <w:szCs w:val="24"/>
        </w:rPr>
        <w:t xml:space="preserve"> offers grants through several different programs for infrastructure and equipment purchases for governments, and governmental authorities.  </w:t>
      </w:r>
    </w:p>
    <w:p w:rsidR="00BB4581" w:rsidRPr="00BB4581" w:rsidRDefault="00BB4581" w:rsidP="00EB0173">
      <w:pPr>
        <w:spacing w:line="240" w:lineRule="auto"/>
        <w:jc w:val="both"/>
        <w:rPr>
          <w:sz w:val="24"/>
          <w:szCs w:val="24"/>
        </w:rPr>
      </w:pPr>
      <w:r w:rsidRPr="00BB4581">
        <w:rPr>
          <w:sz w:val="24"/>
          <w:szCs w:val="24"/>
        </w:rPr>
        <w:t xml:space="preserve">The </w:t>
      </w:r>
      <w:r w:rsidRPr="00BB4581">
        <w:rPr>
          <w:b/>
          <w:sz w:val="24"/>
          <w:szCs w:val="24"/>
        </w:rPr>
        <w:t xml:space="preserve">Appalachian Regional Commission (ARC) </w:t>
      </w:r>
      <w:r w:rsidRPr="00BB4581">
        <w:rPr>
          <w:sz w:val="24"/>
          <w:szCs w:val="24"/>
        </w:rPr>
        <w:t>offers infrastructure grants for the governments within its jurisdiction, four counties and twenty-three cities of which are in the Northeast Georgia Regional Commission area.</w:t>
      </w:r>
    </w:p>
    <w:p w:rsidR="00BB4581" w:rsidRPr="00BB4581" w:rsidRDefault="00BB4581" w:rsidP="00EB0173">
      <w:pPr>
        <w:spacing w:line="240" w:lineRule="auto"/>
        <w:jc w:val="both"/>
        <w:rPr>
          <w:sz w:val="24"/>
          <w:szCs w:val="24"/>
        </w:rPr>
      </w:pPr>
      <w:r w:rsidRPr="00BB4581">
        <w:rPr>
          <w:b/>
          <w:sz w:val="24"/>
          <w:szCs w:val="24"/>
        </w:rPr>
        <w:t xml:space="preserve">The University of </w:t>
      </w:r>
      <w:proofErr w:type="gramStart"/>
      <w:r w:rsidRPr="00BB4581">
        <w:rPr>
          <w:b/>
          <w:sz w:val="24"/>
          <w:szCs w:val="24"/>
        </w:rPr>
        <w:t>Georgia,</w:t>
      </w:r>
      <w:proofErr w:type="gramEnd"/>
      <w:r w:rsidRPr="00BB4581">
        <w:rPr>
          <w:b/>
          <w:sz w:val="24"/>
          <w:szCs w:val="24"/>
        </w:rPr>
        <w:t xml:space="preserve"> </w:t>
      </w:r>
      <w:r w:rsidRPr="00BB4581">
        <w:rPr>
          <w:sz w:val="24"/>
          <w:szCs w:val="24"/>
        </w:rPr>
        <w:t xml:space="preserve">and </w:t>
      </w:r>
      <w:r w:rsidRPr="00BB4581">
        <w:rPr>
          <w:b/>
          <w:sz w:val="24"/>
          <w:szCs w:val="24"/>
        </w:rPr>
        <w:t xml:space="preserve">Georgia Institute of Technology </w:t>
      </w:r>
      <w:r w:rsidRPr="00BB4581">
        <w:rPr>
          <w:sz w:val="24"/>
          <w:szCs w:val="24"/>
        </w:rPr>
        <w:t>operate university accelerators which offer various grants, loans, and awards for seed and early-stage capital for student and faculty entrepreneurs in technology, biotechnology, and life sciences.</w:t>
      </w:r>
    </w:p>
    <w:p w:rsidR="00BB4581" w:rsidRPr="00BB4581" w:rsidRDefault="00BB4581" w:rsidP="00EB0173">
      <w:pPr>
        <w:spacing w:line="240" w:lineRule="auto"/>
        <w:jc w:val="both"/>
        <w:rPr>
          <w:sz w:val="24"/>
          <w:szCs w:val="24"/>
        </w:rPr>
      </w:pPr>
      <w:r w:rsidRPr="00BB4581">
        <w:rPr>
          <w:sz w:val="24"/>
          <w:szCs w:val="24"/>
        </w:rPr>
        <w:t xml:space="preserve">The </w:t>
      </w:r>
      <w:r w:rsidRPr="00BB4581">
        <w:rPr>
          <w:b/>
          <w:sz w:val="24"/>
          <w:szCs w:val="24"/>
        </w:rPr>
        <w:t>United States Department of Commerce’s Economic Development Administration (EDA)</w:t>
      </w:r>
      <w:r w:rsidRPr="00BB4581">
        <w:rPr>
          <w:sz w:val="24"/>
          <w:szCs w:val="24"/>
        </w:rPr>
        <w:t xml:space="preserve"> offers grants for infrastructure improvement for governmental entities.</w:t>
      </w:r>
    </w:p>
    <w:p w:rsidR="00BB4581" w:rsidRPr="00BB4581" w:rsidRDefault="00BB4581" w:rsidP="00EB0173">
      <w:pPr>
        <w:spacing w:line="240" w:lineRule="auto"/>
        <w:jc w:val="both"/>
        <w:rPr>
          <w:sz w:val="24"/>
          <w:szCs w:val="24"/>
        </w:rPr>
      </w:pPr>
      <w:r w:rsidRPr="00BB4581">
        <w:rPr>
          <w:sz w:val="24"/>
          <w:szCs w:val="24"/>
        </w:rPr>
        <w:t xml:space="preserve">The </w:t>
      </w:r>
      <w:r w:rsidRPr="00BB4581">
        <w:rPr>
          <w:b/>
          <w:sz w:val="24"/>
          <w:szCs w:val="24"/>
        </w:rPr>
        <w:t xml:space="preserve">Georgia Department of Education/Governor’s Office of Student Achievement—Connections for Classrooms </w:t>
      </w:r>
      <w:r w:rsidRPr="00BB4581">
        <w:rPr>
          <w:sz w:val="24"/>
          <w:szCs w:val="24"/>
        </w:rPr>
        <w:t>offers grants for infrastructure improvements for Public Local Educational Agencies (LEAs)—in other words, school districts.</w:t>
      </w:r>
    </w:p>
    <w:p w:rsidR="00BB4581" w:rsidRDefault="00BB4581" w:rsidP="00EB0173">
      <w:pPr>
        <w:spacing w:line="240" w:lineRule="auto"/>
        <w:jc w:val="both"/>
        <w:rPr>
          <w:sz w:val="24"/>
          <w:szCs w:val="24"/>
        </w:rPr>
      </w:pPr>
      <w:proofErr w:type="gramStart"/>
      <w:r w:rsidRPr="00BB4581">
        <w:rPr>
          <w:sz w:val="24"/>
          <w:szCs w:val="24"/>
        </w:rPr>
        <w:t>A number of other private initiatives, investment funds, and independent not for profit groups offer discounts, grants, and matching funds for technology infrastructure development, primarily in rural counties.</w:t>
      </w:r>
      <w:proofErr w:type="gramEnd"/>
      <w:r w:rsidRPr="00BB4581">
        <w:rPr>
          <w:sz w:val="24"/>
          <w:szCs w:val="24"/>
        </w:rPr>
        <w:t xml:space="preserve"> </w:t>
      </w:r>
      <w:r w:rsidRPr="00BB4581">
        <w:rPr>
          <w:rStyle w:val="FootnoteReference"/>
          <w:sz w:val="24"/>
          <w:szCs w:val="24"/>
        </w:rPr>
        <w:footnoteReference w:id="8"/>
      </w:r>
    </w:p>
    <w:p w:rsidR="0002348C" w:rsidRDefault="0002348C" w:rsidP="00EB0173">
      <w:pPr>
        <w:spacing w:line="240" w:lineRule="auto"/>
        <w:jc w:val="both"/>
        <w:rPr>
          <w:sz w:val="24"/>
          <w:szCs w:val="24"/>
        </w:rPr>
        <w:sectPr w:rsidR="0002348C" w:rsidSect="0041586B">
          <w:headerReference w:type="even" r:id="rId44"/>
          <w:headerReference w:type="default" r:id="rId45"/>
          <w:headerReference w:type="first" r:id="rId46"/>
          <w:pgSz w:w="12240" w:h="15840"/>
          <w:pgMar w:top="1440" w:right="1440" w:bottom="1440" w:left="1440" w:header="720" w:footer="720" w:gutter="0"/>
          <w:cols w:space="720"/>
          <w:docGrid w:linePitch="360"/>
        </w:sectPr>
      </w:pPr>
    </w:p>
    <w:p w:rsidR="00F018BC" w:rsidRPr="00F018BC" w:rsidRDefault="00960B5D" w:rsidP="00F018BC">
      <w:pPr>
        <w:pStyle w:val="Heading1"/>
      </w:pPr>
      <w:bookmarkStart w:id="27" w:name="_Toc395275944"/>
      <w:r w:rsidRPr="00F018BC">
        <w:lastRenderedPageBreak/>
        <w:t>Capital</w:t>
      </w:r>
      <w:bookmarkEnd w:id="27"/>
    </w:p>
    <w:p w:rsidR="00960B5D" w:rsidRPr="00960B5D" w:rsidRDefault="00960B5D" w:rsidP="00F018BC">
      <w:pPr>
        <w:pStyle w:val="Heading2"/>
      </w:pPr>
      <w:bookmarkStart w:id="28" w:name="_Toc395275945"/>
      <w:r w:rsidRPr="00960B5D">
        <w:t>Technology-Related Venture Capital Investments</w:t>
      </w:r>
      <w:bookmarkEnd w:id="28"/>
    </w:p>
    <w:p w:rsidR="00BE536D" w:rsidRDefault="00960B5D" w:rsidP="00EB0173">
      <w:pPr>
        <w:spacing w:after="0" w:line="240" w:lineRule="auto"/>
        <w:jc w:val="both"/>
        <w:rPr>
          <w:rFonts w:cstheme="minorHAnsi"/>
          <w:sz w:val="24"/>
          <w:szCs w:val="24"/>
        </w:rPr>
      </w:pPr>
      <w:r w:rsidRPr="00960B5D">
        <w:rPr>
          <w:rFonts w:cstheme="minorHAnsi"/>
          <w:sz w:val="24"/>
          <w:szCs w:val="24"/>
        </w:rPr>
        <w:t>Based upon data retrieved from GTA via the CB Insights venture capital database, the following investments within the Northeast Georgia region are highlighted as being specifically technology-related. This is not an exhaustive list; however, outreach to other sources did not result in additional information on venture capital investments.</w:t>
      </w:r>
    </w:p>
    <w:p w:rsidR="00BE536D" w:rsidRDefault="00BE536D" w:rsidP="00EB0173">
      <w:pPr>
        <w:spacing w:after="0" w:line="240" w:lineRule="auto"/>
        <w:jc w:val="both"/>
        <w:rPr>
          <w:rFonts w:cstheme="minorHAnsi"/>
          <w:sz w:val="24"/>
          <w:szCs w:val="24"/>
        </w:rPr>
      </w:pPr>
    </w:p>
    <w:p w:rsidR="005A4744" w:rsidRPr="005A4744" w:rsidRDefault="005A4744" w:rsidP="00EB0173">
      <w:pPr>
        <w:pStyle w:val="Caption"/>
        <w:keepNext/>
        <w:jc w:val="both"/>
        <w:rPr>
          <w:color w:val="auto"/>
        </w:rPr>
      </w:pPr>
      <w:r w:rsidRPr="005A4744">
        <w:rPr>
          <w:color w:val="auto"/>
        </w:rPr>
        <w:t xml:space="preserve">Table </w:t>
      </w:r>
      <w:r w:rsidRPr="005A4744">
        <w:rPr>
          <w:color w:val="auto"/>
        </w:rPr>
        <w:fldChar w:fldCharType="begin"/>
      </w:r>
      <w:r w:rsidRPr="005A4744">
        <w:rPr>
          <w:color w:val="auto"/>
        </w:rPr>
        <w:instrText xml:space="preserve"> SEQ Table \* ARABIC </w:instrText>
      </w:r>
      <w:r w:rsidRPr="005A4744">
        <w:rPr>
          <w:color w:val="auto"/>
        </w:rPr>
        <w:fldChar w:fldCharType="separate"/>
      </w:r>
      <w:r w:rsidR="00B91CD4">
        <w:rPr>
          <w:noProof/>
          <w:color w:val="auto"/>
        </w:rPr>
        <w:t>16</w:t>
      </w:r>
      <w:r w:rsidRPr="005A4744">
        <w:rPr>
          <w:color w:val="auto"/>
        </w:rPr>
        <w:fldChar w:fldCharType="end"/>
      </w:r>
    </w:p>
    <w:tbl>
      <w:tblPr>
        <w:tblStyle w:val="LightShading-Accent5"/>
        <w:tblW w:w="9915" w:type="dxa"/>
        <w:tblLayout w:type="fixed"/>
        <w:tblLook w:val="04A0" w:firstRow="1" w:lastRow="0" w:firstColumn="1" w:lastColumn="0" w:noHBand="0" w:noVBand="1"/>
      </w:tblPr>
      <w:tblGrid>
        <w:gridCol w:w="1262"/>
        <w:gridCol w:w="3119"/>
        <w:gridCol w:w="1180"/>
        <w:gridCol w:w="1294"/>
        <w:gridCol w:w="1440"/>
        <w:gridCol w:w="1620"/>
      </w:tblGrid>
      <w:tr w:rsidR="005A4744" w:rsidRPr="00BE536D" w:rsidTr="005A474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2" w:type="dxa"/>
            <w:hideMark/>
          </w:tcPr>
          <w:p w:rsidR="00BE536D" w:rsidRPr="00BE536D" w:rsidRDefault="00BE536D" w:rsidP="00EB0173">
            <w:pPr>
              <w:jc w:val="both"/>
              <w:rPr>
                <w:rFonts w:ascii="Calibri" w:eastAsia="Times New Roman" w:hAnsi="Calibri" w:cs="Times New Roman"/>
                <w:color w:val="000000"/>
                <w:sz w:val="20"/>
                <w:szCs w:val="20"/>
              </w:rPr>
            </w:pPr>
            <w:bookmarkStart w:id="29" w:name="RANGE!A1:F11"/>
            <w:r w:rsidRPr="00BE536D">
              <w:rPr>
                <w:rFonts w:ascii="Calibri" w:eastAsia="Times New Roman" w:hAnsi="Calibri" w:cs="Times New Roman"/>
                <w:color w:val="000000"/>
                <w:sz w:val="20"/>
                <w:szCs w:val="20"/>
              </w:rPr>
              <w:t>Company</w:t>
            </w:r>
            <w:bookmarkEnd w:id="29"/>
          </w:p>
        </w:tc>
        <w:tc>
          <w:tcPr>
            <w:tcW w:w="3119" w:type="dxa"/>
            <w:hideMark/>
          </w:tcPr>
          <w:p w:rsidR="00BE536D" w:rsidRPr="00BE536D" w:rsidRDefault="00BE536D" w:rsidP="00EB0173">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Company Description</w:t>
            </w:r>
          </w:p>
        </w:tc>
        <w:tc>
          <w:tcPr>
            <w:tcW w:w="1180" w:type="dxa"/>
            <w:hideMark/>
          </w:tcPr>
          <w:p w:rsidR="00BE536D" w:rsidRPr="00BE536D" w:rsidRDefault="00BE536D" w:rsidP="00EB0173">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City</w:t>
            </w:r>
          </w:p>
        </w:tc>
        <w:tc>
          <w:tcPr>
            <w:tcW w:w="1294" w:type="dxa"/>
            <w:hideMark/>
          </w:tcPr>
          <w:p w:rsidR="00BE536D" w:rsidRPr="00BE536D" w:rsidRDefault="00BE536D" w:rsidP="00EB0173">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Sector</w:t>
            </w:r>
          </w:p>
        </w:tc>
        <w:tc>
          <w:tcPr>
            <w:tcW w:w="1440" w:type="dxa"/>
            <w:hideMark/>
          </w:tcPr>
          <w:p w:rsidR="00BE536D" w:rsidRPr="00BE536D" w:rsidRDefault="00BE536D" w:rsidP="00EB0173">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Industry</w:t>
            </w:r>
          </w:p>
        </w:tc>
        <w:tc>
          <w:tcPr>
            <w:tcW w:w="1620" w:type="dxa"/>
            <w:hideMark/>
          </w:tcPr>
          <w:p w:rsidR="00BE536D" w:rsidRPr="00BE536D" w:rsidRDefault="00BE536D" w:rsidP="00EB0173">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Investors</w:t>
            </w:r>
          </w:p>
        </w:tc>
      </w:tr>
      <w:tr w:rsidR="005A4744" w:rsidRPr="00BE536D" w:rsidTr="005A4744">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262" w:type="dxa"/>
            <w:hideMark/>
          </w:tcPr>
          <w:p w:rsidR="00BE536D" w:rsidRPr="00BE536D" w:rsidRDefault="00BE536D" w:rsidP="00672A78">
            <w:pPr>
              <w:rPr>
                <w:rFonts w:ascii="Calibri" w:eastAsia="Times New Roman" w:hAnsi="Calibri" w:cs="Times New Roman"/>
                <w:color w:val="000000"/>
                <w:sz w:val="20"/>
                <w:szCs w:val="20"/>
              </w:rPr>
            </w:pPr>
            <w:proofErr w:type="spellStart"/>
            <w:r w:rsidRPr="00BE536D">
              <w:rPr>
                <w:rFonts w:ascii="Calibri" w:eastAsia="Times New Roman" w:hAnsi="Calibri" w:cs="Times New Roman"/>
                <w:color w:val="000000"/>
                <w:sz w:val="20"/>
                <w:szCs w:val="20"/>
              </w:rPr>
              <w:t>Abeome</w:t>
            </w:r>
            <w:proofErr w:type="spellEnd"/>
          </w:p>
        </w:tc>
        <w:tc>
          <w:tcPr>
            <w:tcW w:w="3119"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roofErr w:type="spellStart"/>
            <w:r w:rsidRPr="00BE536D">
              <w:rPr>
                <w:rFonts w:ascii="Calibri" w:eastAsia="Times New Roman" w:hAnsi="Calibri" w:cs="Times New Roman"/>
                <w:color w:val="000000"/>
                <w:sz w:val="20"/>
                <w:szCs w:val="20"/>
              </w:rPr>
              <w:t>Abeome</w:t>
            </w:r>
            <w:proofErr w:type="spellEnd"/>
            <w:r w:rsidRPr="00BE536D">
              <w:rPr>
                <w:rFonts w:ascii="Calibri" w:eastAsia="Times New Roman" w:hAnsi="Calibri" w:cs="Times New Roman"/>
                <w:color w:val="000000"/>
                <w:sz w:val="20"/>
                <w:szCs w:val="20"/>
              </w:rPr>
              <w:t xml:space="preserve"> is a biotechnology firm dedicated to leveraging its technology that aims to enhance the speed, efficiency and stability of developing and producing monoclonal antibodies.</w:t>
            </w:r>
          </w:p>
        </w:tc>
        <w:tc>
          <w:tcPr>
            <w:tcW w:w="118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Athens</w:t>
            </w:r>
          </w:p>
        </w:tc>
        <w:tc>
          <w:tcPr>
            <w:tcW w:w="1294"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Healthcare</w:t>
            </w:r>
          </w:p>
        </w:tc>
        <w:tc>
          <w:tcPr>
            <w:tcW w:w="144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Biotechnology</w:t>
            </w:r>
          </w:p>
        </w:tc>
        <w:tc>
          <w:tcPr>
            <w:tcW w:w="162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Advanced Technology Development Center;</w:t>
            </w:r>
            <w:r w:rsidR="005A4744">
              <w:rPr>
                <w:rFonts w:ascii="Calibri" w:eastAsia="Times New Roman" w:hAnsi="Calibri" w:cs="Times New Roman"/>
                <w:color w:val="000000"/>
                <w:sz w:val="20"/>
                <w:szCs w:val="20"/>
              </w:rPr>
              <w:t xml:space="preserve"> </w:t>
            </w:r>
            <w:r w:rsidRPr="00BE536D">
              <w:rPr>
                <w:rFonts w:ascii="Calibri" w:eastAsia="Times New Roman" w:hAnsi="Calibri" w:cs="Times New Roman"/>
                <w:color w:val="000000"/>
                <w:sz w:val="20"/>
                <w:szCs w:val="20"/>
              </w:rPr>
              <w:t>Georgia Venture Partners</w:t>
            </w:r>
          </w:p>
        </w:tc>
      </w:tr>
      <w:tr w:rsidR="005A4744" w:rsidRPr="00BE536D" w:rsidTr="005A4744">
        <w:trPr>
          <w:trHeight w:val="1275"/>
        </w:trPr>
        <w:tc>
          <w:tcPr>
            <w:cnfStyle w:val="001000000000" w:firstRow="0" w:lastRow="0" w:firstColumn="1" w:lastColumn="0" w:oddVBand="0" w:evenVBand="0" w:oddHBand="0" w:evenHBand="0" w:firstRowFirstColumn="0" w:firstRowLastColumn="0" w:lastRowFirstColumn="0" w:lastRowLastColumn="0"/>
            <w:tcW w:w="1262" w:type="dxa"/>
            <w:hideMark/>
          </w:tcPr>
          <w:p w:rsidR="00BE536D" w:rsidRPr="00BE536D" w:rsidRDefault="00BE536D" w:rsidP="00672A78">
            <w:pPr>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Bacterial Barcodes</w:t>
            </w:r>
          </w:p>
        </w:tc>
        <w:tc>
          <w:tcPr>
            <w:tcW w:w="3119"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 xml:space="preserve">Bacterial Barcodes is a subsidiary of </w:t>
            </w:r>
            <w:proofErr w:type="spellStart"/>
            <w:r w:rsidRPr="00BE536D">
              <w:rPr>
                <w:rFonts w:ascii="Calibri" w:eastAsia="Times New Roman" w:hAnsi="Calibri" w:cs="Times New Roman"/>
                <w:color w:val="000000"/>
                <w:sz w:val="20"/>
                <w:szCs w:val="20"/>
              </w:rPr>
              <w:t>Biomeriux</w:t>
            </w:r>
            <w:proofErr w:type="spellEnd"/>
            <w:r w:rsidRPr="00BE536D">
              <w:rPr>
                <w:rFonts w:ascii="Calibri" w:eastAsia="Times New Roman" w:hAnsi="Calibri" w:cs="Times New Roman"/>
                <w:color w:val="000000"/>
                <w:sz w:val="20"/>
                <w:szCs w:val="20"/>
              </w:rPr>
              <w:t xml:space="preserve"> Inc. and aims to provide the equipment, reagents and software for microbial genotyping of bacteria and fungi. Packaged together, these components are referred to as the </w:t>
            </w:r>
            <w:proofErr w:type="spellStart"/>
            <w:r w:rsidRPr="00BE536D">
              <w:rPr>
                <w:rFonts w:ascii="Calibri" w:eastAsia="Times New Roman" w:hAnsi="Calibri" w:cs="Times New Roman"/>
                <w:color w:val="000000"/>
                <w:sz w:val="20"/>
                <w:szCs w:val="20"/>
              </w:rPr>
              <w:t>DiversiLab</w:t>
            </w:r>
            <w:proofErr w:type="spellEnd"/>
            <w:r w:rsidRPr="00BE536D">
              <w:rPr>
                <w:rFonts w:ascii="Calibri" w:eastAsia="Times New Roman" w:hAnsi="Calibri" w:cs="Times New Roman"/>
                <w:color w:val="000000"/>
                <w:sz w:val="20"/>
                <w:szCs w:val="20"/>
              </w:rPr>
              <w:t xml:space="preserve"> System</w:t>
            </w:r>
          </w:p>
        </w:tc>
        <w:tc>
          <w:tcPr>
            <w:tcW w:w="118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Athens</w:t>
            </w:r>
          </w:p>
        </w:tc>
        <w:tc>
          <w:tcPr>
            <w:tcW w:w="1294"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Industrial</w:t>
            </w:r>
          </w:p>
        </w:tc>
        <w:tc>
          <w:tcPr>
            <w:tcW w:w="144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Machinery &amp; Equipment</w:t>
            </w:r>
          </w:p>
        </w:tc>
        <w:tc>
          <w:tcPr>
            <w:tcW w:w="162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Spectral Genomics</w:t>
            </w:r>
          </w:p>
        </w:tc>
      </w:tr>
      <w:tr w:rsidR="005A4744" w:rsidRPr="00BE536D" w:rsidTr="005A4744">
        <w:trPr>
          <w:cnfStyle w:val="000000100000" w:firstRow="0" w:lastRow="0" w:firstColumn="0" w:lastColumn="0" w:oddVBand="0" w:evenVBand="0" w:oddHBand="1" w:evenHBand="0"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1262" w:type="dxa"/>
            <w:hideMark/>
          </w:tcPr>
          <w:p w:rsidR="00BE536D" w:rsidRPr="00BE536D" w:rsidRDefault="00BE536D" w:rsidP="00672A78">
            <w:pPr>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Body Surface Translations</w:t>
            </w:r>
          </w:p>
        </w:tc>
        <w:tc>
          <w:tcPr>
            <w:tcW w:w="3119"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Body Surface Translations is a biomedical device company focused on discovery and marketing of imaging technology that can be used to estimate the weight of an animal. The initial target markets will be agribusiness (swine and cattle) but opportunities in other aspects of agriculture and human health are envisioned as well.</w:t>
            </w:r>
          </w:p>
        </w:tc>
        <w:tc>
          <w:tcPr>
            <w:tcW w:w="118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Athens</w:t>
            </w:r>
          </w:p>
        </w:tc>
        <w:tc>
          <w:tcPr>
            <w:tcW w:w="1294"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Healthcare</w:t>
            </w:r>
          </w:p>
        </w:tc>
        <w:tc>
          <w:tcPr>
            <w:tcW w:w="144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Medical Devices &amp; Equipment</w:t>
            </w:r>
          </w:p>
        </w:tc>
        <w:tc>
          <w:tcPr>
            <w:tcW w:w="162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 xml:space="preserve">Georgia </w:t>
            </w:r>
            <w:proofErr w:type="spellStart"/>
            <w:r w:rsidRPr="00BE536D">
              <w:rPr>
                <w:rFonts w:ascii="Calibri" w:eastAsia="Times New Roman" w:hAnsi="Calibri" w:cs="Times New Roman"/>
                <w:color w:val="000000"/>
                <w:sz w:val="20"/>
                <w:szCs w:val="20"/>
              </w:rPr>
              <w:t>BioBusiness</w:t>
            </w:r>
            <w:proofErr w:type="spellEnd"/>
            <w:r w:rsidRPr="00BE536D">
              <w:rPr>
                <w:rFonts w:ascii="Calibri" w:eastAsia="Times New Roman" w:hAnsi="Calibri" w:cs="Times New Roman"/>
                <w:color w:val="000000"/>
                <w:sz w:val="20"/>
                <w:szCs w:val="20"/>
              </w:rPr>
              <w:t xml:space="preserve"> Center</w:t>
            </w:r>
          </w:p>
        </w:tc>
      </w:tr>
      <w:tr w:rsidR="005A4744" w:rsidRPr="00BE536D" w:rsidTr="005A4744">
        <w:trPr>
          <w:trHeight w:val="1275"/>
        </w:trPr>
        <w:tc>
          <w:tcPr>
            <w:cnfStyle w:val="001000000000" w:firstRow="0" w:lastRow="0" w:firstColumn="1" w:lastColumn="0" w:oddVBand="0" w:evenVBand="0" w:oddHBand="0" w:evenHBand="0" w:firstRowFirstColumn="0" w:firstRowLastColumn="0" w:lastRowFirstColumn="0" w:lastRowLastColumn="0"/>
            <w:tcW w:w="1262" w:type="dxa"/>
            <w:hideMark/>
          </w:tcPr>
          <w:p w:rsidR="00BE536D" w:rsidRPr="00BE536D" w:rsidRDefault="00BE536D" w:rsidP="00672A78">
            <w:pPr>
              <w:rPr>
                <w:rFonts w:ascii="Calibri" w:eastAsia="Times New Roman" w:hAnsi="Calibri" w:cs="Times New Roman"/>
                <w:color w:val="000000"/>
                <w:sz w:val="20"/>
                <w:szCs w:val="20"/>
              </w:rPr>
            </w:pPr>
            <w:proofErr w:type="spellStart"/>
            <w:r w:rsidRPr="00BE536D">
              <w:rPr>
                <w:rFonts w:ascii="Calibri" w:eastAsia="Times New Roman" w:hAnsi="Calibri" w:cs="Times New Roman"/>
                <w:color w:val="000000"/>
                <w:sz w:val="20"/>
                <w:szCs w:val="20"/>
              </w:rPr>
              <w:t>Evirx</w:t>
            </w:r>
            <w:proofErr w:type="spellEnd"/>
          </w:p>
        </w:tc>
        <w:tc>
          <w:tcPr>
            <w:tcW w:w="3119"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roofErr w:type="spellStart"/>
            <w:proofErr w:type="gramStart"/>
            <w:r w:rsidRPr="00BE536D">
              <w:rPr>
                <w:rFonts w:ascii="Calibri" w:eastAsia="Times New Roman" w:hAnsi="Calibri" w:cs="Times New Roman"/>
                <w:color w:val="000000"/>
                <w:sz w:val="20"/>
                <w:szCs w:val="20"/>
              </w:rPr>
              <w:t>Evirx</w:t>
            </w:r>
            <w:proofErr w:type="spellEnd"/>
            <w:r w:rsidRPr="00BE536D">
              <w:rPr>
                <w:rFonts w:ascii="Calibri" w:eastAsia="Times New Roman" w:hAnsi="Calibri" w:cs="Times New Roman"/>
                <w:color w:val="000000"/>
                <w:sz w:val="20"/>
                <w:szCs w:val="20"/>
              </w:rPr>
              <w:t>,</w:t>
            </w:r>
            <w:proofErr w:type="gramEnd"/>
            <w:r w:rsidRPr="00BE536D">
              <w:rPr>
                <w:rFonts w:ascii="Calibri" w:eastAsia="Times New Roman" w:hAnsi="Calibri" w:cs="Times New Roman"/>
                <w:color w:val="000000"/>
                <w:sz w:val="20"/>
                <w:szCs w:val="20"/>
              </w:rPr>
              <w:t xml:space="preserve"> was formed to commercialize technology based solutions for human performance assessment and accountability (HPAA). Its lead product, Video Analysis Tool (VAT) combines customizable live video and commentary or assessment tools.</w:t>
            </w:r>
          </w:p>
        </w:tc>
        <w:tc>
          <w:tcPr>
            <w:tcW w:w="118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Athens</w:t>
            </w:r>
          </w:p>
        </w:tc>
        <w:tc>
          <w:tcPr>
            <w:tcW w:w="1294"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Computer Hardware &amp; Services</w:t>
            </w:r>
          </w:p>
        </w:tc>
        <w:tc>
          <w:tcPr>
            <w:tcW w:w="144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Specialty Computer Hardware</w:t>
            </w:r>
          </w:p>
        </w:tc>
        <w:tc>
          <w:tcPr>
            <w:tcW w:w="162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 xml:space="preserve">Georgia </w:t>
            </w:r>
            <w:proofErr w:type="spellStart"/>
            <w:r w:rsidRPr="00BE536D">
              <w:rPr>
                <w:rFonts w:ascii="Calibri" w:eastAsia="Times New Roman" w:hAnsi="Calibri" w:cs="Times New Roman"/>
                <w:color w:val="000000"/>
                <w:sz w:val="20"/>
                <w:szCs w:val="20"/>
              </w:rPr>
              <w:t>BioBusiness</w:t>
            </w:r>
            <w:proofErr w:type="spellEnd"/>
            <w:r w:rsidRPr="00BE536D">
              <w:rPr>
                <w:rFonts w:ascii="Calibri" w:eastAsia="Times New Roman" w:hAnsi="Calibri" w:cs="Times New Roman"/>
                <w:color w:val="000000"/>
                <w:sz w:val="20"/>
                <w:szCs w:val="20"/>
              </w:rPr>
              <w:t xml:space="preserve"> Center</w:t>
            </w:r>
          </w:p>
        </w:tc>
      </w:tr>
      <w:tr w:rsidR="005A4744" w:rsidRPr="00BE536D" w:rsidTr="005A4744">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262" w:type="dxa"/>
            <w:hideMark/>
          </w:tcPr>
          <w:p w:rsidR="00BE536D" w:rsidRPr="00BE536D" w:rsidRDefault="00BE536D" w:rsidP="00672A78">
            <w:pPr>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Eyelevel Interactive</w:t>
            </w:r>
          </w:p>
        </w:tc>
        <w:tc>
          <w:tcPr>
            <w:tcW w:w="3119"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 xml:space="preserve">Eyelevel Interactive offers EI Tag, a branded MAC (mobile action code) that </w:t>
            </w:r>
            <w:proofErr w:type="gramStart"/>
            <w:r w:rsidRPr="00BE536D">
              <w:rPr>
                <w:rFonts w:ascii="Calibri" w:eastAsia="Times New Roman" w:hAnsi="Calibri" w:cs="Times New Roman"/>
                <w:color w:val="000000"/>
                <w:sz w:val="20"/>
                <w:szCs w:val="20"/>
              </w:rPr>
              <w:t>allow</w:t>
            </w:r>
            <w:proofErr w:type="gramEnd"/>
            <w:r w:rsidRPr="00BE536D">
              <w:rPr>
                <w:rFonts w:ascii="Calibri" w:eastAsia="Times New Roman" w:hAnsi="Calibri" w:cs="Times New Roman"/>
                <w:color w:val="000000"/>
                <w:sz w:val="20"/>
                <w:szCs w:val="20"/>
              </w:rPr>
              <w:t xml:space="preserve"> consumers to interact with a campaign or promotion displayed on a uniform by linking it to any desired URL.</w:t>
            </w:r>
          </w:p>
        </w:tc>
        <w:tc>
          <w:tcPr>
            <w:tcW w:w="118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Greensboro</w:t>
            </w:r>
          </w:p>
        </w:tc>
        <w:tc>
          <w:tcPr>
            <w:tcW w:w="1294"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Mobile &amp; Telecom</w:t>
            </w:r>
            <w:r w:rsidR="005A4744">
              <w:rPr>
                <w:rFonts w:ascii="Calibri" w:eastAsia="Times New Roman" w:hAnsi="Calibri" w:cs="Times New Roman"/>
                <w:color w:val="000000"/>
                <w:sz w:val="20"/>
                <w:szCs w:val="20"/>
              </w:rPr>
              <w:t>-</w:t>
            </w:r>
            <w:proofErr w:type="spellStart"/>
            <w:r w:rsidRPr="00BE536D">
              <w:rPr>
                <w:rFonts w:ascii="Calibri" w:eastAsia="Times New Roman" w:hAnsi="Calibri" w:cs="Times New Roman"/>
                <w:color w:val="000000"/>
                <w:sz w:val="20"/>
                <w:szCs w:val="20"/>
              </w:rPr>
              <w:t>munications</w:t>
            </w:r>
            <w:proofErr w:type="spellEnd"/>
          </w:p>
        </w:tc>
        <w:tc>
          <w:tcPr>
            <w:tcW w:w="144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Mobile Software &amp; Services</w:t>
            </w:r>
          </w:p>
        </w:tc>
        <w:tc>
          <w:tcPr>
            <w:tcW w:w="162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Undisclosed Investors</w:t>
            </w:r>
          </w:p>
        </w:tc>
      </w:tr>
      <w:tr w:rsidR="005A4744" w:rsidRPr="00BE536D" w:rsidTr="005A4744">
        <w:trPr>
          <w:trHeight w:val="960"/>
        </w:trPr>
        <w:tc>
          <w:tcPr>
            <w:cnfStyle w:val="001000000000" w:firstRow="0" w:lastRow="0" w:firstColumn="1" w:lastColumn="0" w:oddVBand="0" w:evenVBand="0" w:oddHBand="0" w:evenHBand="0" w:firstRowFirstColumn="0" w:firstRowLastColumn="0" w:lastRowFirstColumn="0" w:lastRowLastColumn="0"/>
            <w:tcW w:w="1262" w:type="dxa"/>
            <w:hideMark/>
          </w:tcPr>
          <w:p w:rsidR="00BE536D" w:rsidRPr="00BE536D" w:rsidRDefault="00BE536D" w:rsidP="00672A78">
            <w:pPr>
              <w:rPr>
                <w:rFonts w:ascii="Calibri" w:eastAsia="Times New Roman" w:hAnsi="Calibri" w:cs="Times New Roman"/>
                <w:color w:val="000000"/>
                <w:sz w:val="20"/>
                <w:szCs w:val="20"/>
              </w:rPr>
            </w:pPr>
            <w:proofErr w:type="spellStart"/>
            <w:r w:rsidRPr="00BE536D">
              <w:rPr>
                <w:rFonts w:ascii="Calibri" w:eastAsia="Times New Roman" w:hAnsi="Calibri" w:cs="Times New Roman"/>
                <w:color w:val="000000"/>
                <w:sz w:val="20"/>
                <w:szCs w:val="20"/>
              </w:rPr>
              <w:lastRenderedPageBreak/>
              <w:t>Millenium</w:t>
            </w:r>
            <w:proofErr w:type="spellEnd"/>
            <w:r w:rsidRPr="00BE536D">
              <w:rPr>
                <w:rFonts w:ascii="Calibri" w:eastAsia="Times New Roman" w:hAnsi="Calibri" w:cs="Times New Roman"/>
                <w:color w:val="000000"/>
                <w:sz w:val="20"/>
                <w:szCs w:val="20"/>
              </w:rPr>
              <w:t xml:space="preserve"> Cryogenics</w:t>
            </w:r>
          </w:p>
        </w:tc>
        <w:tc>
          <w:tcPr>
            <w:tcW w:w="3119"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roofErr w:type="spellStart"/>
            <w:r w:rsidRPr="00BE536D">
              <w:rPr>
                <w:rFonts w:ascii="Calibri" w:eastAsia="Times New Roman" w:hAnsi="Calibri" w:cs="Times New Roman"/>
                <w:color w:val="000000"/>
                <w:sz w:val="20"/>
                <w:szCs w:val="20"/>
              </w:rPr>
              <w:t>Millenium</w:t>
            </w:r>
            <w:proofErr w:type="spellEnd"/>
            <w:r w:rsidRPr="00BE536D">
              <w:rPr>
                <w:rFonts w:ascii="Calibri" w:eastAsia="Times New Roman" w:hAnsi="Calibri" w:cs="Times New Roman"/>
                <w:color w:val="000000"/>
                <w:sz w:val="20"/>
                <w:szCs w:val="20"/>
              </w:rPr>
              <w:t xml:space="preserve"> Cryogenics, Inc. aims to provide critical infrastructure needs of the biotech and biomedical industries for the protection and safe storage of valuable biological samples.</w:t>
            </w:r>
          </w:p>
        </w:tc>
        <w:tc>
          <w:tcPr>
            <w:tcW w:w="118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Athens</w:t>
            </w:r>
          </w:p>
        </w:tc>
        <w:tc>
          <w:tcPr>
            <w:tcW w:w="1294"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Healthcare</w:t>
            </w:r>
          </w:p>
        </w:tc>
        <w:tc>
          <w:tcPr>
            <w:tcW w:w="144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Biotechnology</w:t>
            </w:r>
          </w:p>
        </w:tc>
        <w:tc>
          <w:tcPr>
            <w:tcW w:w="162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 xml:space="preserve">Georgia </w:t>
            </w:r>
            <w:proofErr w:type="spellStart"/>
            <w:r w:rsidRPr="00BE536D">
              <w:rPr>
                <w:rFonts w:ascii="Calibri" w:eastAsia="Times New Roman" w:hAnsi="Calibri" w:cs="Times New Roman"/>
                <w:color w:val="000000"/>
                <w:sz w:val="20"/>
                <w:szCs w:val="20"/>
              </w:rPr>
              <w:t>BioBusiness</w:t>
            </w:r>
            <w:proofErr w:type="spellEnd"/>
            <w:r w:rsidRPr="00BE536D">
              <w:rPr>
                <w:rFonts w:ascii="Calibri" w:eastAsia="Times New Roman" w:hAnsi="Calibri" w:cs="Times New Roman"/>
                <w:color w:val="000000"/>
                <w:sz w:val="20"/>
                <w:szCs w:val="20"/>
              </w:rPr>
              <w:t xml:space="preserve"> Center</w:t>
            </w:r>
          </w:p>
        </w:tc>
      </w:tr>
      <w:tr w:rsidR="005A4744" w:rsidRPr="00BE536D" w:rsidTr="005A4744">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1262" w:type="dxa"/>
            <w:hideMark/>
          </w:tcPr>
          <w:p w:rsidR="00BE536D" w:rsidRPr="00BE536D" w:rsidRDefault="00BE536D" w:rsidP="00672A78">
            <w:pPr>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Natural Science Enterprises</w:t>
            </w:r>
          </w:p>
        </w:tc>
        <w:tc>
          <w:tcPr>
            <w:tcW w:w="3119"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 xml:space="preserve">Natural Science Enterprises Inc. is a research and development group dedicated </w:t>
            </w:r>
            <w:proofErr w:type="spellStart"/>
            <w:r w:rsidRPr="00BE536D">
              <w:rPr>
                <w:rFonts w:ascii="Calibri" w:eastAsia="Times New Roman" w:hAnsi="Calibri" w:cs="Times New Roman"/>
                <w:color w:val="000000"/>
                <w:sz w:val="20"/>
                <w:szCs w:val="20"/>
              </w:rPr>
              <w:t>t</w:t>
            </w:r>
            <w:proofErr w:type="spellEnd"/>
            <w:r w:rsidRPr="00BE536D">
              <w:rPr>
                <w:rFonts w:ascii="Calibri" w:eastAsia="Times New Roman" w:hAnsi="Calibri" w:cs="Times New Roman"/>
                <w:color w:val="000000"/>
                <w:sz w:val="20"/>
                <w:szCs w:val="20"/>
              </w:rPr>
              <w:t xml:space="preserve"> the understanding of basic biochemical processes with an emphasis on application for treatments. The company has developed a technology platform, a cationic sub-micron emulsion, allowing for a broad pipeline of products for addressing major conditions as well as orphan diseases.</w:t>
            </w:r>
          </w:p>
        </w:tc>
        <w:tc>
          <w:tcPr>
            <w:tcW w:w="118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Athens</w:t>
            </w:r>
          </w:p>
        </w:tc>
        <w:tc>
          <w:tcPr>
            <w:tcW w:w="1294"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Healthcare</w:t>
            </w:r>
          </w:p>
        </w:tc>
        <w:tc>
          <w:tcPr>
            <w:tcW w:w="144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Drug Discovery</w:t>
            </w:r>
          </w:p>
        </w:tc>
        <w:tc>
          <w:tcPr>
            <w:tcW w:w="162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 xml:space="preserve">Georgia </w:t>
            </w:r>
            <w:proofErr w:type="spellStart"/>
            <w:r w:rsidRPr="00BE536D">
              <w:rPr>
                <w:rFonts w:ascii="Calibri" w:eastAsia="Times New Roman" w:hAnsi="Calibri" w:cs="Times New Roman"/>
                <w:color w:val="000000"/>
                <w:sz w:val="20"/>
                <w:szCs w:val="20"/>
              </w:rPr>
              <w:t>BioBusiness</w:t>
            </w:r>
            <w:proofErr w:type="spellEnd"/>
            <w:r w:rsidRPr="00BE536D">
              <w:rPr>
                <w:rFonts w:ascii="Calibri" w:eastAsia="Times New Roman" w:hAnsi="Calibri" w:cs="Times New Roman"/>
                <w:color w:val="000000"/>
                <w:sz w:val="20"/>
                <w:szCs w:val="20"/>
              </w:rPr>
              <w:t xml:space="preserve"> Center</w:t>
            </w:r>
          </w:p>
        </w:tc>
      </w:tr>
      <w:tr w:rsidR="005A4744" w:rsidRPr="00BE536D" w:rsidTr="005A4744">
        <w:trPr>
          <w:trHeight w:val="1065"/>
        </w:trPr>
        <w:tc>
          <w:tcPr>
            <w:cnfStyle w:val="001000000000" w:firstRow="0" w:lastRow="0" w:firstColumn="1" w:lastColumn="0" w:oddVBand="0" w:evenVBand="0" w:oddHBand="0" w:evenHBand="0" w:firstRowFirstColumn="0" w:firstRowLastColumn="0" w:lastRowFirstColumn="0" w:lastRowLastColumn="0"/>
            <w:tcW w:w="1262" w:type="dxa"/>
            <w:hideMark/>
          </w:tcPr>
          <w:p w:rsidR="00BE536D" w:rsidRPr="00BE536D" w:rsidRDefault="00BE536D" w:rsidP="00672A78">
            <w:pPr>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P3 Laboratories</w:t>
            </w:r>
          </w:p>
        </w:tc>
        <w:tc>
          <w:tcPr>
            <w:tcW w:w="3119"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P3 Laboratories aims to provide consulting, development, production, and post-marketing technical support to the pharmaceutical industry for the development of niche products.</w:t>
            </w:r>
          </w:p>
        </w:tc>
        <w:tc>
          <w:tcPr>
            <w:tcW w:w="118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Winder</w:t>
            </w:r>
          </w:p>
        </w:tc>
        <w:tc>
          <w:tcPr>
            <w:tcW w:w="1294"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Business Products &amp; Services</w:t>
            </w:r>
          </w:p>
        </w:tc>
        <w:tc>
          <w:tcPr>
            <w:tcW w:w="144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Consulting &amp; Outsourcing</w:t>
            </w:r>
          </w:p>
        </w:tc>
        <w:tc>
          <w:tcPr>
            <w:tcW w:w="162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 xml:space="preserve">Georgia </w:t>
            </w:r>
            <w:proofErr w:type="spellStart"/>
            <w:r w:rsidRPr="00BE536D">
              <w:rPr>
                <w:rFonts w:ascii="Calibri" w:eastAsia="Times New Roman" w:hAnsi="Calibri" w:cs="Times New Roman"/>
                <w:color w:val="000000"/>
                <w:sz w:val="20"/>
                <w:szCs w:val="20"/>
              </w:rPr>
              <w:t>BioBusiness</w:t>
            </w:r>
            <w:proofErr w:type="spellEnd"/>
            <w:r w:rsidRPr="00BE536D">
              <w:rPr>
                <w:rFonts w:ascii="Calibri" w:eastAsia="Times New Roman" w:hAnsi="Calibri" w:cs="Times New Roman"/>
                <w:color w:val="000000"/>
                <w:sz w:val="20"/>
                <w:szCs w:val="20"/>
              </w:rPr>
              <w:t xml:space="preserve"> Center</w:t>
            </w:r>
          </w:p>
        </w:tc>
      </w:tr>
      <w:tr w:rsidR="005A4744" w:rsidRPr="00BE536D" w:rsidTr="005A4744">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262" w:type="dxa"/>
            <w:hideMark/>
          </w:tcPr>
          <w:p w:rsidR="00BE536D" w:rsidRPr="00BE536D" w:rsidRDefault="00BE536D" w:rsidP="00672A78">
            <w:pPr>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Powers Partners</w:t>
            </w:r>
          </w:p>
        </w:tc>
        <w:tc>
          <w:tcPr>
            <w:tcW w:w="3119"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Powers Partners is a manufacturer of overhead distribution transformers, serving utility, industrial and commercial customers in North America, Central America, Mexico, the Caribbean and other markets.</w:t>
            </w:r>
          </w:p>
        </w:tc>
        <w:tc>
          <w:tcPr>
            <w:tcW w:w="118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Athens</w:t>
            </w:r>
          </w:p>
        </w:tc>
        <w:tc>
          <w:tcPr>
            <w:tcW w:w="1294"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Energy &amp; Utilities</w:t>
            </w:r>
          </w:p>
        </w:tc>
        <w:tc>
          <w:tcPr>
            <w:tcW w:w="144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Electric</w:t>
            </w:r>
          </w:p>
        </w:tc>
        <w:tc>
          <w:tcPr>
            <w:tcW w:w="1620" w:type="dxa"/>
            <w:hideMark/>
          </w:tcPr>
          <w:p w:rsidR="00BE536D" w:rsidRPr="00BE536D" w:rsidRDefault="00BE536D" w:rsidP="00672A7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Undisclosed Investors</w:t>
            </w:r>
          </w:p>
        </w:tc>
      </w:tr>
      <w:tr w:rsidR="005A4744" w:rsidRPr="00BE536D" w:rsidTr="005A4744">
        <w:trPr>
          <w:trHeight w:val="1365"/>
        </w:trPr>
        <w:tc>
          <w:tcPr>
            <w:cnfStyle w:val="001000000000" w:firstRow="0" w:lastRow="0" w:firstColumn="1" w:lastColumn="0" w:oddVBand="0" w:evenVBand="0" w:oddHBand="0" w:evenHBand="0" w:firstRowFirstColumn="0" w:firstRowLastColumn="0" w:lastRowFirstColumn="0" w:lastRowLastColumn="0"/>
            <w:tcW w:w="1262" w:type="dxa"/>
            <w:hideMark/>
          </w:tcPr>
          <w:p w:rsidR="00BE536D" w:rsidRPr="00BE536D" w:rsidRDefault="00BE536D" w:rsidP="00672A78">
            <w:pPr>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Utility Associates</w:t>
            </w:r>
          </w:p>
        </w:tc>
        <w:tc>
          <w:tcPr>
            <w:tcW w:w="3119"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Utility Associates develops and markets software/hardware, turnkey solutions that enable customers with large mobile workforces to significantly increase field operational efficiency and reduce energy consumption.</w:t>
            </w:r>
          </w:p>
        </w:tc>
        <w:tc>
          <w:tcPr>
            <w:tcW w:w="118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Covington</w:t>
            </w:r>
          </w:p>
        </w:tc>
        <w:tc>
          <w:tcPr>
            <w:tcW w:w="1294"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Mobile &amp; Telecom</w:t>
            </w:r>
            <w:r w:rsidR="005A4744">
              <w:rPr>
                <w:rFonts w:ascii="Calibri" w:eastAsia="Times New Roman" w:hAnsi="Calibri" w:cs="Times New Roman"/>
                <w:color w:val="000000"/>
                <w:sz w:val="20"/>
                <w:szCs w:val="20"/>
              </w:rPr>
              <w:t>-</w:t>
            </w:r>
            <w:proofErr w:type="spellStart"/>
            <w:r w:rsidRPr="00BE536D">
              <w:rPr>
                <w:rFonts w:ascii="Calibri" w:eastAsia="Times New Roman" w:hAnsi="Calibri" w:cs="Times New Roman"/>
                <w:color w:val="000000"/>
                <w:sz w:val="20"/>
                <w:szCs w:val="20"/>
              </w:rPr>
              <w:t>munications</w:t>
            </w:r>
            <w:proofErr w:type="spellEnd"/>
          </w:p>
        </w:tc>
        <w:tc>
          <w:tcPr>
            <w:tcW w:w="144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BE536D">
              <w:rPr>
                <w:rFonts w:ascii="Calibri" w:eastAsia="Times New Roman" w:hAnsi="Calibri" w:cs="Times New Roman"/>
                <w:color w:val="000000"/>
                <w:sz w:val="20"/>
                <w:szCs w:val="20"/>
              </w:rPr>
              <w:t>Mobile Software &amp; Services</w:t>
            </w:r>
          </w:p>
        </w:tc>
        <w:tc>
          <w:tcPr>
            <w:tcW w:w="1620" w:type="dxa"/>
            <w:hideMark/>
          </w:tcPr>
          <w:p w:rsidR="00BE536D" w:rsidRPr="00BE536D" w:rsidRDefault="00BE536D" w:rsidP="00672A7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roofErr w:type="spellStart"/>
            <w:r w:rsidRPr="00BE536D">
              <w:rPr>
                <w:rFonts w:ascii="Calibri" w:eastAsia="Times New Roman" w:hAnsi="Calibri" w:cs="Times New Roman"/>
                <w:color w:val="000000"/>
                <w:sz w:val="20"/>
                <w:szCs w:val="20"/>
              </w:rPr>
              <w:t>Braemar</w:t>
            </w:r>
            <w:proofErr w:type="spellEnd"/>
            <w:r w:rsidRPr="00BE536D">
              <w:rPr>
                <w:rFonts w:ascii="Calibri" w:eastAsia="Times New Roman" w:hAnsi="Calibri" w:cs="Times New Roman"/>
                <w:color w:val="000000"/>
                <w:sz w:val="20"/>
                <w:szCs w:val="20"/>
              </w:rPr>
              <w:t xml:space="preserve"> Energy Ventures</w:t>
            </w:r>
          </w:p>
        </w:tc>
      </w:tr>
    </w:tbl>
    <w:p w:rsidR="00BE536D" w:rsidRDefault="00BE536D" w:rsidP="00672A78">
      <w:pPr>
        <w:spacing w:after="0" w:line="240" w:lineRule="auto"/>
        <w:rPr>
          <w:rFonts w:cstheme="minorHAnsi"/>
          <w:sz w:val="24"/>
          <w:szCs w:val="24"/>
        </w:rPr>
      </w:pPr>
    </w:p>
    <w:p w:rsidR="00EB0173" w:rsidRDefault="00EB0173" w:rsidP="00672A78">
      <w:pPr>
        <w:rPr>
          <w:rFonts w:cstheme="minorHAnsi"/>
          <w:sz w:val="24"/>
          <w:szCs w:val="24"/>
        </w:rPr>
      </w:pPr>
      <w:r>
        <w:rPr>
          <w:rFonts w:cstheme="minorHAnsi"/>
          <w:sz w:val="24"/>
          <w:szCs w:val="24"/>
        </w:rPr>
        <w:br w:type="page"/>
      </w:r>
    </w:p>
    <w:p w:rsidR="00B21702" w:rsidRPr="00B21702" w:rsidRDefault="00F57B42" w:rsidP="00B21702">
      <w:pPr>
        <w:pStyle w:val="Caption"/>
        <w:keepNext/>
        <w:rPr>
          <w:color w:val="auto"/>
        </w:rPr>
      </w:pPr>
      <w:r w:rsidRPr="00F57B42">
        <w:rPr>
          <w:color w:val="auto"/>
        </w:rPr>
        <w:lastRenderedPageBreak/>
        <w:t xml:space="preserve">Table </w:t>
      </w:r>
      <w:r w:rsidRPr="00F57B42">
        <w:rPr>
          <w:color w:val="auto"/>
        </w:rPr>
        <w:fldChar w:fldCharType="begin"/>
      </w:r>
      <w:r w:rsidRPr="00F57B42">
        <w:rPr>
          <w:color w:val="auto"/>
        </w:rPr>
        <w:instrText xml:space="preserve"> SEQ Table \* ARABIC </w:instrText>
      </w:r>
      <w:r w:rsidRPr="00F57B42">
        <w:rPr>
          <w:color w:val="auto"/>
        </w:rPr>
        <w:fldChar w:fldCharType="separate"/>
      </w:r>
      <w:r w:rsidR="00B91CD4">
        <w:rPr>
          <w:noProof/>
          <w:color w:val="auto"/>
        </w:rPr>
        <w:t>17</w:t>
      </w:r>
      <w:r w:rsidRPr="00F57B42">
        <w:rPr>
          <w:color w:val="auto"/>
        </w:rPr>
        <w:fldChar w:fldCharType="end"/>
      </w:r>
    </w:p>
    <w:p w:rsidR="00960B5D" w:rsidRDefault="00960B5D" w:rsidP="00F018BC">
      <w:pPr>
        <w:pStyle w:val="Heading2"/>
      </w:pPr>
      <w:bookmarkStart w:id="30" w:name="_Toc395275946"/>
      <w:r w:rsidRPr="00960B5D">
        <w:t>Funding Sources</w:t>
      </w:r>
      <w:bookmarkEnd w:id="30"/>
    </w:p>
    <w:tbl>
      <w:tblPr>
        <w:tblStyle w:val="LightShading-Accent5"/>
        <w:tblW w:w="9738" w:type="dxa"/>
        <w:tblLayout w:type="fixed"/>
        <w:tblLook w:val="04A0" w:firstRow="1" w:lastRow="0" w:firstColumn="1" w:lastColumn="0" w:noHBand="0" w:noVBand="1"/>
      </w:tblPr>
      <w:tblGrid>
        <w:gridCol w:w="3911"/>
        <w:gridCol w:w="1057"/>
        <w:gridCol w:w="900"/>
        <w:gridCol w:w="1620"/>
        <w:gridCol w:w="2250"/>
      </w:tblGrid>
      <w:tr w:rsidR="00BE536D" w:rsidRPr="00F57B42" w:rsidTr="00B21702">
        <w:trPr>
          <w:cnfStyle w:val="100000000000" w:firstRow="1" w:lastRow="0" w:firstColumn="0" w:lastColumn="0" w:oddVBand="0" w:evenVBand="0" w:oddHBand="0" w:evenHBand="0" w:firstRowFirstColumn="0" w:firstRowLastColumn="0" w:lastRowFirstColumn="0" w:lastRowLastColumn="0"/>
          <w:trHeight w:val="367"/>
          <w:tblHeader/>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color w:val="000000"/>
                <w:sz w:val="20"/>
                <w:szCs w:val="20"/>
              </w:rPr>
            </w:pPr>
            <w:r w:rsidRPr="00960B5D">
              <w:rPr>
                <w:rFonts w:eastAsia="Times New Roman" w:cs="Times New Roman"/>
                <w:color w:val="000000"/>
                <w:sz w:val="20"/>
                <w:szCs w:val="20"/>
              </w:rPr>
              <w:t>Funding Source</w:t>
            </w:r>
          </w:p>
        </w:tc>
        <w:tc>
          <w:tcPr>
            <w:tcW w:w="1057" w:type="dxa"/>
            <w:hideMark/>
          </w:tcPr>
          <w:p w:rsidR="00BE536D" w:rsidRDefault="00BE536D" w:rsidP="00672A7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 xml:space="preserve">Source </w:t>
            </w:r>
          </w:p>
          <w:p w:rsidR="00BE536D" w:rsidRPr="00960B5D" w:rsidRDefault="00BE536D" w:rsidP="00672A7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Type</w:t>
            </w:r>
          </w:p>
        </w:tc>
        <w:tc>
          <w:tcPr>
            <w:tcW w:w="900" w:type="dxa"/>
            <w:hideMark/>
          </w:tcPr>
          <w:p w:rsidR="00BE536D" w:rsidRPr="00960B5D" w:rsidRDefault="00BE536D" w:rsidP="00672A7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Funding Type</w:t>
            </w:r>
          </w:p>
        </w:tc>
        <w:tc>
          <w:tcPr>
            <w:tcW w:w="1620" w:type="dxa"/>
            <w:hideMark/>
          </w:tcPr>
          <w:p w:rsidR="00BE536D" w:rsidRDefault="00BE536D" w:rsidP="00672A7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 xml:space="preserve">Eligible </w:t>
            </w:r>
          </w:p>
          <w:p w:rsidR="00BE536D" w:rsidRPr="00960B5D" w:rsidRDefault="00BE536D" w:rsidP="00672A7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 xml:space="preserve">Project(s) </w:t>
            </w:r>
          </w:p>
        </w:tc>
        <w:tc>
          <w:tcPr>
            <w:tcW w:w="2250" w:type="dxa"/>
            <w:hideMark/>
          </w:tcPr>
          <w:p w:rsidR="00BE536D" w:rsidRPr="00960B5D" w:rsidRDefault="00BE536D" w:rsidP="00672A7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Eligible Applicant(s)</w:t>
            </w:r>
          </w:p>
        </w:tc>
      </w:tr>
      <w:tr w:rsidR="00BE536D" w:rsidRPr="00F57B42" w:rsidTr="00B21702">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Georgia Department of Community Affairs – One Georgia Equity</w:t>
            </w:r>
          </w:p>
        </w:tc>
        <w:tc>
          <w:tcPr>
            <w:tcW w:w="1057"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State</w:t>
            </w:r>
          </w:p>
        </w:tc>
        <w:tc>
          <w:tcPr>
            <w:tcW w:w="90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Grant</w:t>
            </w:r>
          </w:p>
        </w:tc>
        <w:tc>
          <w:tcPr>
            <w:tcW w:w="162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Infrastructure</w:t>
            </w:r>
          </w:p>
        </w:tc>
        <w:tc>
          <w:tcPr>
            <w:tcW w:w="225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Governments and government authorities, including multi-county authorities</w:t>
            </w:r>
          </w:p>
        </w:tc>
      </w:tr>
      <w:tr w:rsidR="00BE536D" w:rsidRPr="00F57B42" w:rsidTr="00B21702">
        <w:trPr>
          <w:trHeight w:val="990"/>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Georgia Department of Community Affairs – One Georgia EDGE</w:t>
            </w:r>
          </w:p>
        </w:tc>
        <w:tc>
          <w:tcPr>
            <w:tcW w:w="1057"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State</w:t>
            </w:r>
          </w:p>
        </w:tc>
        <w:tc>
          <w:tcPr>
            <w:tcW w:w="90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Grant</w:t>
            </w:r>
          </w:p>
        </w:tc>
        <w:tc>
          <w:tcPr>
            <w:tcW w:w="162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Infrastructure and equipment</w:t>
            </w:r>
          </w:p>
        </w:tc>
        <w:tc>
          <w:tcPr>
            <w:tcW w:w="225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Governments and government authorities, including multi-county authorities</w:t>
            </w:r>
          </w:p>
        </w:tc>
      </w:tr>
      <w:tr w:rsidR="00BE536D" w:rsidRPr="00F57B42" w:rsidTr="00B2170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Appalachian Regional Commission (ARC)</w:t>
            </w:r>
          </w:p>
        </w:tc>
        <w:tc>
          <w:tcPr>
            <w:tcW w:w="1057"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Federal</w:t>
            </w:r>
          </w:p>
        </w:tc>
        <w:tc>
          <w:tcPr>
            <w:tcW w:w="90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Grant</w:t>
            </w:r>
          </w:p>
        </w:tc>
        <w:tc>
          <w:tcPr>
            <w:tcW w:w="162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Infrastructure</w:t>
            </w:r>
          </w:p>
        </w:tc>
        <w:tc>
          <w:tcPr>
            <w:tcW w:w="225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Governments located in Barrow, Elbert, Jackson, and Madison counties</w:t>
            </w:r>
          </w:p>
        </w:tc>
      </w:tr>
      <w:tr w:rsidR="00BE536D" w:rsidRPr="00F57B42" w:rsidTr="00B21702">
        <w:trPr>
          <w:trHeight w:val="720"/>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U.S. Department of Agriculture (USDA) – Community Connect</w:t>
            </w:r>
          </w:p>
        </w:tc>
        <w:tc>
          <w:tcPr>
            <w:tcW w:w="1057"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Federal</w:t>
            </w:r>
          </w:p>
        </w:tc>
        <w:tc>
          <w:tcPr>
            <w:tcW w:w="90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Grant</w:t>
            </w:r>
          </w:p>
        </w:tc>
        <w:tc>
          <w:tcPr>
            <w:tcW w:w="162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Infrastructure</w:t>
            </w:r>
          </w:p>
        </w:tc>
        <w:tc>
          <w:tcPr>
            <w:tcW w:w="225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Rural governments, nonprofit organizations, for-profit companies</w:t>
            </w:r>
          </w:p>
        </w:tc>
      </w:tr>
      <w:tr w:rsidR="00BE536D" w:rsidRPr="00F57B42" w:rsidTr="00B21702">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U.S. Department of Agriculture (USDA) – Distance Learning &amp; Telemedicine</w:t>
            </w:r>
          </w:p>
        </w:tc>
        <w:tc>
          <w:tcPr>
            <w:tcW w:w="1057"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Federal</w:t>
            </w:r>
          </w:p>
        </w:tc>
        <w:tc>
          <w:tcPr>
            <w:tcW w:w="90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Grant</w:t>
            </w:r>
          </w:p>
        </w:tc>
        <w:tc>
          <w:tcPr>
            <w:tcW w:w="162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Infrastructure</w:t>
            </w:r>
          </w:p>
        </w:tc>
        <w:tc>
          <w:tcPr>
            <w:tcW w:w="225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Rural governments, nonprofit organizations, for-profit companies providing education and medical care</w:t>
            </w:r>
          </w:p>
        </w:tc>
      </w:tr>
      <w:tr w:rsidR="00BE536D" w:rsidRPr="00F57B42" w:rsidTr="00B21702">
        <w:trPr>
          <w:trHeight w:val="1035"/>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U.S. Department of Agriculture (USDA) – Telecommunications Infrastructure Loan Program</w:t>
            </w:r>
          </w:p>
        </w:tc>
        <w:tc>
          <w:tcPr>
            <w:tcW w:w="1057"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Federal</w:t>
            </w:r>
          </w:p>
        </w:tc>
        <w:tc>
          <w:tcPr>
            <w:tcW w:w="90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Loan</w:t>
            </w:r>
          </w:p>
        </w:tc>
        <w:tc>
          <w:tcPr>
            <w:tcW w:w="162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Infrastructure</w:t>
            </w:r>
          </w:p>
        </w:tc>
        <w:tc>
          <w:tcPr>
            <w:tcW w:w="225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Rural governments, nonprofit organizations, for-profit companies providing telephone services</w:t>
            </w:r>
          </w:p>
        </w:tc>
      </w:tr>
      <w:tr w:rsidR="00BE536D" w:rsidRPr="00F57B42" w:rsidTr="00B21702">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U.S. Department of Agriculture (USDA) –  Expansion of 911 Access Loan Program (through  Telecommunications Infrastructure Loan Program)</w:t>
            </w:r>
          </w:p>
        </w:tc>
        <w:tc>
          <w:tcPr>
            <w:tcW w:w="1057"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Federal</w:t>
            </w:r>
          </w:p>
        </w:tc>
        <w:tc>
          <w:tcPr>
            <w:tcW w:w="90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Loan</w:t>
            </w:r>
          </w:p>
        </w:tc>
        <w:tc>
          <w:tcPr>
            <w:tcW w:w="162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Emergency communications equipment</w:t>
            </w:r>
          </w:p>
        </w:tc>
        <w:tc>
          <w:tcPr>
            <w:tcW w:w="225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Rural governments, nonprofit organizations, for-profit emergency communications equipment providers</w:t>
            </w:r>
          </w:p>
        </w:tc>
      </w:tr>
      <w:tr w:rsidR="00BE536D" w:rsidRPr="00F57B42" w:rsidTr="00B21702">
        <w:trPr>
          <w:trHeight w:val="630"/>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U.S. Department of Commerce Economic Development Administration (EDA)</w:t>
            </w:r>
          </w:p>
        </w:tc>
        <w:tc>
          <w:tcPr>
            <w:tcW w:w="1057"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Federal</w:t>
            </w:r>
          </w:p>
        </w:tc>
        <w:tc>
          <w:tcPr>
            <w:tcW w:w="90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Grant</w:t>
            </w:r>
          </w:p>
        </w:tc>
        <w:tc>
          <w:tcPr>
            <w:tcW w:w="162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Infrastructure</w:t>
            </w:r>
          </w:p>
        </w:tc>
        <w:tc>
          <w:tcPr>
            <w:tcW w:w="225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Governments</w:t>
            </w:r>
          </w:p>
        </w:tc>
      </w:tr>
      <w:tr w:rsidR="00BE536D" w:rsidRPr="00F57B42" w:rsidTr="00B2170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 xml:space="preserve">Georgia Partnership for </w:t>
            </w:r>
            <w:proofErr w:type="spellStart"/>
            <w:r w:rsidRPr="00960B5D">
              <w:rPr>
                <w:rFonts w:eastAsia="Times New Roman" w:cs="Times New Roman"/>
                <w:b w:val="0"/>
                <w:color w:val="000000"/>
                <w:sz w:val="20"/>
                <w:szCs w:val="20"/>
              </w:rPr>
              <w:t>Telehealth</w:t>
            </w:r>
            <w:proofErr w:type="spellEnd"/>
            <w:r w:rsidRPr="00960B5D">
              <w:rPr>
                <w:rFonts w:eastAsia="Times New Roman" w:cs="Times New Roman"/>
                <w:b w:val="0"/>
                <w:color w:val="000000"/>
                <w:sz w:val="20"/>
                <w:szCs w:val="20"/>
              </w:rPr>
              <w:t xml:space="preserve"> – Rural School-Based </w:t>
            </w:r>
            <w:proofErr w:type="spellStart"/>
            <w:r w:rsidRPr="00960B5D">
              <w:rPr>
                <w:rFonts w:eastAsia="Times New Roman" w:cs="Times New Roman"/>
                <w:b w:val="0"/>
                <w:color w:val="000000"/>
                <w:sz w:val="20"/>
                <w:szCs w:val="20"/>
              </w:rPr>
              <w:t>Telehealth</w:t>
            </w:r>
            <w:proofErr w:type="spellEnd"/>
            <w:r w:rsidRPr="00960B5D">
              <w:rPr>
                <w:rFonts w:eastAsia="Times New Roman" w:cs="Times New Roman"/>
                <w:b w:val="0"/>
                <w:color w:val="000000"/>
                <w:sz w:val="20"/>
                <w:szCs w:val="20"/>
              </w:rPr>
              <w:t xml:space="preserve"> Center Initiative</w:t>
            </w:r>
          </w:p>
        </w:tc>
        <w:tc>
          <w:tcPr>
            <w:tcW w:w="1057"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roofErr w:type="spellStart"/>
            <w:r w:rsidRPr="00960B5D">
              <w:rPr>
                <w:rFonts w:eastAsia="Times New Roman" w:cs="Times New Roman"/>
                <w:color w:val="000000"/>
                <w:sz w:val="20"/>
                <w:szCs w:val="20"/>
              </w:rPr>
              <w:t>Inde</w:t>
            </w:r>
            <w:proofErr w:type="spellEnd"/>
            <w:r w:rsidR="00EB0173">
              <w:rPr>
                <w:rFonts w:eastAsia="Times New Roman" w:cs="Times New Roman"/>
                <w:color w:val="000000"/>
                <w:sz w:val="20"/>
                <w:szCs w:val="20"/>
              </w:rPr>
              <w:t>-</w:t>
            </w:r>
            <w:r w:rsidRPr="00960B5D">
              <w:rPr>
                <w:rFonts w:eastAsia="Times New Roman" w:cs="Times New Roman"/>
                <w:color w:val="000000"/>
                <w:sz w:val="20"/>
                <w:szCs w:val="20"/>
              </w:rPr>
              <w:t>pendent Nonprofit</w:t>
            </w:r>
          </w:p>
        </w:tc>
        <w:tc>
          <w:tcPr>
            <w:tcW w:w="90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Grant</w:t>
            </w:r>
          </w:p>
        </w:tc>
        <w:tc>
          <w:tcPr>
            <w:tcW w:w="162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Telemedicine equipment</w:t>
            </w:r>
          </w:p>
        </w:tc>
        <w:tc>
          <w:tcPr>
            <w:tcW w:w="225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bookmarkStart w:id="31" w:name="RANGE!E10"/>
            <w:r w:rsidRPr="00960B5D">
              <w:rPr>
                <w:rFonts w:eastAsia="Times New Roman" w:cs="Times New Roman"/>
                <w:color w:val="000000"/>
                <w:sz w:val="20"/>
                <w:szCs w:val="20"/>
              </w:rPr>
              <w:t xml:space="preserve">Nonprofit health centers located in defined Rural Counties </w:t>
            </w:r>
            <w:r w:rsidR="00EB0173">
              <w:rPr>
                <w:rStyle w:val="FootnoteReference"/>
                <w:rFonts w:eastAsia="Times New Roman" w:cs="Times New Roman"/>
                <w:color w:val="000000"/>
                <w:sz w:val="20"/>
                <w:szCs w:val="20"/>
              </w:rPr>
              <w:footnoteReference w:id="9"/>
            </w:r>
            <w:bookmarkEnd w:id="31"/>
          </w:p>
        </w:tc>
      </w:tr>
      <w:tr w:rsidR="00BE536D" w:rsidRPr="00F57B42" w:rsidTr="00B21702">
        <w:trPr>
          <w:trHeight w:val="630"/>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Universal Service Administrative Company (USAC) – Rural Health Care (RHC) Program</w:t>
            </w:r>
          </w:p>
        </w:tc>
        <w:tc>
          <w:tcPr>
            <w:tcW w:w="1057"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roofErr w:type="spellStart"/>
            <w:r w:rsidRPr="00960B5D">
              <w:rPr>
                <w:rFonts w:eastAsia="Times New Roman" w:cs="Times New Roman"/>
                <w:color w:val="000000"/>
                <w:sz w:val="20"/>
                <w:szCs w:val="20"/>
              </w:rPr>
              <w:t>Inde</w:t>
            </w:r>
            <w:proofErr w:type="spellEnd"/>
            <w:r w:rsidR="00EB0173">
              <w:rPr>
                <w:rFonts w:eastAsia="Times New Roman" w:cs="Times New Roman"/>
                <w:color w:val="000000"/>
                <w:sz w:val="20"/>
                <w:szCs w:val="20"/>
              </w:rPr>
              <w:t>-</w:t>
            </w:r>
            <w:r w:rsidRPr="00960B5D">
              <w:rPr>
                <w:rFonts w:eastAsia="Times New Roman" w:cs="Times New Roman"/>
                <w:color w:val="000000"/>
                <w:sz w:val="20"/>
                <w:szCs w:val="20"/>
              </w:rPr>
              <w:t>pendent Nonprofit</w:t>
            </w:r>
          </w:p>
        </w:tc>
        <w:tc>
          <w:tcPr>
            <w:tcW w:w="90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60B5D">
              <w:rPr>
                <w:rFonts w:eastAsia="Times New Roman" w:cs="Times New Roman"/>
                <w:color w:val="000000"/>
                <w:sz w:val="18"/>
                <w:szCs w:val="18"/>
              </w:rPr>
              <w:t>Discount</w:t>
            </w:r>
          </w:p>
        </w:tc>
        <w:tc>
          <w:tcPr>
            <w:tcW w:w="162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Telecom</w:t>
            </w:r>
            <w:r w:rsidR="00EB0173">
              <w:rPr>
                <w:rFonts w:eastAsia="Times New Roman" w:cs="Times New Roman"/>
                <w:color w:val="000000"/>
                <w:sz w:val="20"/>
                <w:szCs w:val="20"/>
              </w:rPr>
              <w:t>-</w:t>
            </w:r>
            <w:proofErr w:type="spellStart"/>
            <w:r w:rsidRPr="00960B5D">
              <w:rPr>
                <w:rFonts w:eastAsia="Times New Roman" w:cs="Times New Roman"/>
                <w:color w:val="000000"/>
                <w:sz w:val="20"/>
                <w:szCs w:val="20"/>
              </w:rPr>
              <w:t>munications</w:t>
            </w:r>
            <w:proofErr w:type="spellEnd"/>
            <w:r w:rsidRPr="00960B5D">
              <w:rPr>
                <w:rFonts w:eastAsia="Times New Roman" w:cs="Times New Roman"/>
                <w:color w:val="000000"/>
                <w:sz w:val="20"/>
                <w:szCs w:val="20"/>
              </w:rPr>
              <w:t xml:space="preserve"> services</w:t>
            </w:r>
          </w:p>
        </w:tc>
        <w:tc>
          <w:tcPr>
            <w:tcW w:w="225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bookmarkStart w:id="32" w:name="RANGE!E11"/>
            <w:r w:rsidRPr="00960B5D">
              <w:rPr>
                <w:rFonts w:eastAsia="Times New Roman" w:cs="Times New Roman"/>
                <w:color w:val="000000"/>
                <w:sz w:val="20"/>
                <w:szCs w:val="20"/>
              </w:rPr>
              <w:t>Healthcare Providers (HCPs) located in defined Rural Areas</w:t>
            </w:r>
            <w:r w:rsidR="00EB0173">
              <w:rPr>
                <w:rStyle w:val="FootnoteReference"/>
                <w:rFonts w:eastAsia="Times New Roman" w:cs="Times New Roman"/>
                <w:color w:val="000000"/>
                <w:sz w:val="20"/>
                <w:szCs w:val="20"/>
              </w:rPr>
              <w:footnoteReference w:id="10"/>
            </w:r>
            <w:r w:rsidRPr="00960B5D">
              <w:rPr>
                <w:rFonts w:eastAsia="Times New Roman" w:cs="Times New Roman"/>
                <w:color w:val="000000"/>
                <w:sz w:val="20"/>
                <w:szCs w:val="20"/>
              </w:rPr>
              <w:t xml:space="preserve"> </w:t>
            </w:r>
            <w:bookmarkEnd w:id="32"/>
          </w:p>
        </w:tc>
      </w:tr>
      <w:tr w:rsidR="00BE536D" w:rsidRPr="00F57B42" w:rsidTr="00B2170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Athens Angel Fund</w:t>
            </w:r>
          </w:p>
        </w:tc>
        <w:tc>
          <w:tcPr>
            <w:tcW w:w="1057"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Investment Fund</w:t>
            </w:r>
          </w:p>
        </w:tc>
        <w:tc>
          <w:tcPr>
            <w:tcW w:w="90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Equity</w:t>
            </w:r>
          </w:p>
        </w:tc>
        <w:tc>
          <w:tcPr>
            <w:tcW w:w="162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Early-stage capital</w:t>
            </w:r>
          </w:p>
        </w:tc>
        <w:tc>
          <w:tcPr>
            <w:tcW w:w="225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Technology-based start-up companies in the Southeast U.S.</w:t>
            </w:r>
          </w:p>
        </w:tc>
      </w:tr>
      <w:tr w:rsidR="00BE536D" w:rsidRPr="00F57B42" w:rsidTr="00B21702">
        <w:trPr>
          <w:trHeight w:val="630"/>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lastRenderedPageBreak/>
              <w:t>Atlanta Technology Angels</w:t>
            </w:r>
          </w:p>
        </w:tc>
        <w:tc>
          <w:tcPr>
            <w:tcW w:w="1057"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Investment Group</w:t>
            </w:r>
          </w:p>
        </w:tc>
        <w:tc>
          <w:tcPr>
            <w:tcW w:w="90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Equity</w:t>
            </w:r>
          </w:p>
        </w:tc>
        <w:tc>
          <w:tcPr>
            <w:tcW w:w="162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Early-stage capital</w:t>
            </w:r>
          </w:p>
        </w:tc>
        <w:tc>
          <w:tcPr>
            <w:tcW w:w="225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Technology-based start-up companies in the Southeast U.S.</w:t>
            </w:r>
          </w:p>
        </w:tc>
      </w:tr>
      <w:tr w:rsidR="00BE536D" w:rsidRPr="00F57B42" w:rsidTr="00B2170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 xml:space="preserve">Georgia </w:t>
            </w:r>
            <w:proofErr w:type="spellStart"/>
            <w:r w:rsidRPr="00960B5D">
              <w:rPr>
                <w:rFonts w:eastAsia="Times New Roman" w:cs="Times New Roman"/>
                <w:b w:val="0"/>
                <w:color w:val="000000"/>
                <w:sz w:val="20"/>
                <w:szCs w:val="20"/>
              </w:rPr>
              <w:t>BioBusiness</w:t>
            </w:r>
            <w:proofErr w:type="spellEnd"/>
            <w:r w:rsidRPr="00960B5D">
              <w:rPr>
                <w:rFonts w:eastAsia="Times New Roman" w:cs="Times New Roman"/>
                <w:b w:val="0"/>
                <w:color w:val="000000"/>
                <w:sz w:val="20"/>
                <w:szCs w:val="20"/>
              </w:rPr>
              <w:t xml:space="preserve"> Center Venture Lab (University of Georgia)</w:t>
            </w:r>
          </w:p>
        </w:tc>
        <w:tc>
          <w:tcPr>
            <w:tcW w:w="1057"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University Accelerator</w:t>
            </w:r>
          </w:p>
        </w:tc>
        <w:tc>
          <w:tcPr>
            <w:tcW w:w="90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Grant, Award, Loan</w:t>
            </w:r>
          </w:p>
        </w:tc>
        <w:tc>
          <w:tcPr>
            <w:tcW w:w="162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Seed and early-stage capital</w:t>
            </w:r>
          </w:p>
        </w:tc>
        <w:tc>
          <w:tcPr>
            <w:tcW w:w="225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UGA faculty entrepreneurs in biotechnology and life sciences sectors</w:t>
            </w:r>
          </w:p>
        </w:tc>
      </w:tr>
      <w:tr w:rsidR="00BE536D" w:rsidRPr="00F57B42" w:rsidTr="00B21702">
        <w:trPr>
          <w:trHeight w:val="630"/>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Georgia Venture Partners</w:t>
            </w:r>
          </w:p>
        </w:tc>
        <w:tc>
          <w:tcPr>
            <w:tcW w:w="1057"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Invest</w:t>
            </w:r>
            <w:r w:rsidR="00EB0173">
              <w:rPr>
                <w:rFonts w:eastAsia="Times New Roman" w:cs="Times New Roman"/>
                <w:color w:val="000000"/>
                <w:sz w:val="20"/>
                <w:szCs w:val="20"/>
              </w:rPr>
              <w:t>-</w:t>
            </w:r>
            <w:proofErr w:type="spellStart"/>
            <w:r w:rsidRPr="00960B5D">
              <w:rPr>
                <w:rFonts w:eastAsia="Times New Roman" w:cs="Times New Roman"/>
                <w:color w:val="000000"/>
                <w:sz w:val="20"/>
                <w:szCs w:val="20"/>
              </w:rPr>
              <w:t>ment</w:t>
            </w:r>
            <w:proofErr w:type="spellEnd"/>
            <w:r w:rsidRPr="00960B5D">
              <w:rPr>
                <w:rFonts w:eastAsia="Times New Roman" w:cs="Times New Roman"/>
                <w:color w:val="000000"/>
                <w:sz w:val="20"/>
                <w:szCs w:val="20"/>
              </w:rPr>
              <w:t xml:space="preserve"> Fund</w:t>
            </w:r>
          </w:p>
        </w:tc>
        <w:tc>
          <w:tcPr>
            <w:tcW w:w="90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Equity</w:t>
            </w:r>
          </w:p>
        </w:tc>
        <w:tc>
          <w:tcPr>
            <w:tcW w:w="162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Seed and early-stage capital</w:t>
            </w:r>
          </w:p>
        </w:tc>
        <w:tc>
          <w:tcPr>
            <w:tcW w:w="225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Life science companies with a focus on those located in Georgia</w:t>
            </w:r>
          </w:p>
        </w:tc>
      </w:tr>
      <w:tr w:rsidR="00BE536D" w:rsidRPr="00F57B42" w:rsidTr="00B2170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Advanced Technology Development Center Venture Lab (Georgia Tech)</w:t>
            </w:r>
          </w:p>
        </w:tc>
        <w:tc>
          <w:tcPr>
            <w:tcW w:w="1057"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University Accelerator</w:t>
            </w:r>
          </w:p>
        </w:tc>
        <w:tc>
          <w:tcPr>
            <w:tcW w:w="90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Grant, Award</w:t>
            </w:r>
          </w:p>
        </w:tc>
        <w:tc>
          <w:tcPr>
            <w:tcW w:w="162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Seed and early-stage capital</w:t>
            </w:r>
          </w:p>
        </w:tc>
        <w:tc>
          <w:tcPr>
            <w:tcW w:w="2250" w:type="dxa"/>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Georgia Tech student and faculty entrepreneurs in technology</w:t>
            </w:r>
          </w:p>
        </w:tc>
      </w:tr>
      <w:tr w:rsidR="00BE536D" w:rsidRPr="00F57B42" w:rsidTr="00B21702">
        <w:trPr>
          <w:trHeight w:val="945"/>
        </w:trPr>
        <w:tc>
          <w:tcPr>
            <w:cnfStyle w:val="001000000000" w:firstRow="0" w:lastRow="0" w:firstColumn="1" w:lastColumn="0" w:oddVBand="0" w:evenVBand="0" w:oddHBand="0" w:evenHBand="0" w:firstRowFirstColumn="0" w:firstRowLastColumn="0" w:lastRowFirstColumn="0" w:lastRowLastColumn="0"/>
            <w:tcW w:w="3911" w:type="dxa"/>
            <w:hideMark/>
          </w:tcPr>
          <w:p w:rsidR="00BE536D" w:rsidRPr="00960B5D" w:rsidRDefault="00BE536D" w:rsidP="00672A78">
            <w:pPr>
              <w:rPr>
                <w:rFonts w:eastAsia="Times New Roman" w:cs="Times New Roman"/>
                <w:b w:val="0"/>
                <w:color w:val="000000"/>
                <w:sz w:val="20"/>
                <w:szCs w:val="20"/>
              </w:rPr>
            </w:pPr>
            <w:r w:rsidRPr="00960B5D">
              <w:rPr>
                <w:rFonts w:eastAsia="Times New Roman" w:cs="Times New Roman"/>
                <w:b w:val="0"/>
                <w:color w:val="000000"/>
                <w:sz w:val="20"/>
                <w:szCs w:val="20"/>
              </w:rPr>
              <w:t>Georgia Department of Education, Governor’s Office of Student Achievement – Connections for Classrooms</w:t>
            </w:r>
          </w:p>
        </w:tc>
        <w:tc>
          <w:tcPr>
            <w:tcW w:w="1057"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State</w:t>
            </w:r>
          </w:p>
        </w:tc>
        <w:tc>
          <w:tcPr>
            <w:tcW w:w="90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Grant</w:t>
            </w:r>
          </w:p>
        </w:tc>
        <w:tc>
          <w:tcPr>
            <w:tcW w:w="162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Infrastructure</w:t>
            </w:r>
          </w:p>
        </w:tc>
        <w:tc>
          <w:tcPr>
            <w:tcW w:w="2250" w:type="dxa"/>
            <w:hideMark/>
          </w:tcPr>
          <w:p w:rsidR="00BE536D" w:rsidRPr="00960B5D" w:rsidRDefault="00BE536D" w:rsidP="00672A7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Public Local Educational Agencies (LEAs)</w:t>
            </w:r>
          </w:p>
        </w:tc>
      </w:tr>
      <w:tr w:rsidR="00BE536D" w:rsidRPr="00F57B42" w:rsidTr="00B2170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911" w:type="dxa"/>
            <w:tcBorders>
              <w:bottom w:val="single" w:sz="8" w:space="0" w:color="4BACC6" w:themeColor="accent5"/>
            </w:tcBorders>
            <w:hideMark/>
          </w:tcPr>
          <w:p w:rsidR="00BE536D" w:rsidRPr="00960B5D" w:rsidRDefault="00BE536D" w:rsidP="00672A78">
            <w:pPr>
              <w:rPr>
                <w:rFonts w:eastAsia="Times New Roman" w:cs="Times New Roman"/>
                <w:b w:val="0"/>
                <w:color w:val="000000"/>
                <w:sz w:val="20"/>
                <w:szCs w:val="20"/>
              </w:rPr>
            </w:pPr>
            <w:proofErr w:type="spellStart"/>
            <w:r w:rsidRPr="00960B5D">
              <w:rPr>
                <w:rFonts w:eastAsia="Times New Roman" w:cs="Times New Roman"/>
                <w:b w:val="0"/>
                <w:color w:val="000000"/>
                <w:sz w:val="20"/>
                <w:szCs w:val="20"/>
              </w:rPr>
              <w:t>ConnectED</w:t>
            </w:r>
            <w:proofErr w:type="spellEnd"/>
            <w:r w:rsidRPr="00960B5D">
              <w:rPr>
                <w:rFonts w:eastAsia="Times New Roman" w:cs="Times New Roman"/>
                <w:b w:val="0"/>
                <w:color w:val="000000"/>
                <w:sz w:val="20"/>
                <w:szCs w:val="20"/>
              </w:rPr>
              <w:t xml:space="preserve"> Initiative</w:t>
            </w:r>
          </w:p>
        </w:tc>
        <w:tc>
          <w:tcPr>
            <w:tcW w:w="1057" w:type="dxa"/>
            <w:tcBorders>
              <w:bottom w:val="single" w:sz="8" w:space="0" w:color="4BACC6" w:themeColor="accent5"/>
            </w:tcBorders>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Private</w:t>
            </w:r>
          </w:p>
        </w:tc>
        <w:tc>
          <w:tcPr>
            <w:tcW w:w="900" w:type="dxa"/>
            <w:tcBorders>
              <w:bottom w:val="single" w:sz="8" w:space="0" w:color="4BACC6" w:themeColor="accent5"/>
            </w:tcBorders>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Grant</w:t>
            </w:r>
          </w:p>
        </w:tc>
        <w:tc>
          <w:tcPr>
            <w:tcW w:w="1620" w:type="dxa"/>
            <w:tcBorders>
              <w:bottom w:val="single" w:sz="8" w:space="0" w:color="4BACC6" w:themeColor="accent5"/>
            </w:tcBorders>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960B5D">
              <w:rPr>
                <w:rFonts w:eastAsia="Times New Roman" w:cs="Times New Roman"/>
                <w:color w:val="000000"/>
                <w:sz w:val="20"/>
                <w:szCs w:val="20"/>
              </w:rPr>
              <w:t>Software and training</w:t>
            </w:r>
          </w:p>
        </w:tc>
        <w:tc>
          <w:tcPr>
            <w:tcW w:w="2250" w:type="dxa"/>
            <w:tcBorders>
              <w:bottom w:val="single" w:sz="8" w:space="0" w:color="4BACC6" w:themeColor="accent5"/>
            </w:tcBorders>
            <w:hideMark/>
          </w:tcPr>
          <w:p w:rsidR="00BE536D" w:rsidRPr="00960B5D" w:rsidRDefault="00BE536D" w:rsidP="00672A7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bookmarkStart w:id="33" w:name="RANGE!E18"/>
            <w:r w:rsidRPr="00960B5D">
              <w:rPr>
                <w:rFonts w:eastAsia="Times New Roman" w:cs="Times New Roman"/>
                <w:color w:val="000000"/>
                <w:sz w:val="20"/>
                <w:szCs w:val="20"/>
              </w:rPr>
              <w:t>Schools may apply for software and training grants through private company participants in the Federal initiative</w:t>
            </w:r>
            <w:r w:rsidR="00EB0173">
              <w:rPr>
                <w:rStyle w:val="FootnoteReference"/>
                <w:rFonts w:eastAsia="Times New Roman" w:cs="Times New Roman"/>
                <w:color w:val="000000"/>
                <w:sz w:val="20"/>
                <w:szCs w:val="20"/>
              </w:rPr>
              <w:footnoteReference w:id="11"/>
            </w:r>
            <w:bookmarkEnd w:id="33"/>
          </w:p>
        </w:tc>
      </w:tr>
    </w:tbl>
    <w:p w:rsidR="00BB4581" w:rsidRPr="00BB4581" w:rsidRDefault="00BB4581" w:rsidP="00EB0173">
      <w:pPr>
        <w:spacing w:line="240" w:lineRule="auto"/>
        <w:jc w:val="both"/>
        <w:rPr>
          <w:sz w:val="24"/>
          <w:szCs w:val="24"/>
        </w:rPr>
      </w:pPr>
    </w:p>
    <w:p w:rsidR="00672A78" w:rsidRDefault="00672A78" w:rsidP="00EB0173">
      <w:pPr>
        <w:spacing w:line="240" w:lineRule="auto"/>
        <w:jc w:val="both"/>
        <w:rPr>
          <w:sz w:val="24"/>
          <w:szCs w:val="24"/>
        </w:rPr>
        <w:sectPr w:rsidR="00672A78" w:rsidSect="00960B5D">
          <w:headerReference w:type="even" r:id="rId47"/>
          <w:headerReference w:type="default" r:id="rId48"/>
          <w:headerReference w:type="first" r:id="rId49"/>
          <w:pgSz w:w="12240" w:h="15840"/>
          <w:pgMar w:top="1440" w:right="1440" w:bottom="1440" w:left="1440" w:header="720" w:footer="720" w:gutter="0"/>
          <w:cols w:space="720"/>
          <w:docGrid w:linePitch="360"/>
        </w:sectPr>
      </w:pPr>
    </w:p>
    <w:p w:rsidR="007E762D" w:rsidRPr="00672A78" w:rsidRDefault="00672A78" w:rsidP="00B57C69">
      <w:pPr>
        <w:pStyle w:val="Heading1"/>
      </w:pPr>
      <w:bookmarkStart w:id="34" w:name="_Toc395275947"/>
      <w:r w:rsidRPr="00672A78">
        <w:lastRenderedPageBreak/>
        <w:t>Current Project Highlights</w:t>
      </w:r>
      <w:bookmarkEnd w:id="34"/>
    </w:p>
    <w:p w:rsidR="00672A78" w:rsidRPr="00672A78" w:rsidRDefault="00672A78" w:rsidP="00672A78">
      <w:pPr>
        <w:spacing w:line="240" w:lineRule="auto"/>
        <w:rPr>
          <w:sz w:val="24"/>
          <w:szCs w:val="24"/>
        </w:rPr>
      </w:pPr>
      <w:r w:rsidRPr="00672A78">
        <w:rPr>
          <w:sz w:val="24"/>
          <w:szCs w:val="24"/>
        </w:rPr>
        <w:t xml:space="preserve">The following section describes ongoing or recent digital economy-related projects within the Northeast Georgia region. Each is identified by type: </w:t>
      </w:r>
    </w:p>
    <w:p w:rsidR="00672A78" w:rsidRPr="00672A78" w:rsidRDefault="00672A78" w:rsidP="00672A78">
      <w:pPr>
        <w:pStyle w:val="ListParagraph"/>
        <w:numPr>
          <w:ilvl w:val="0"/>
          <w:numId w:val="9"/>
        </w:numPr>
        <w:spacing w:line="240" w:lineRule="auto"/>
        <w:rPr>
          <w:sz w:val="24"/>
          <w:szCs w:val="24"/>
        </w:rPr>
      </w:pPr>
      <w:r w:rsidRPr="00672A78">
        <w:rPr>
          <w:sz w:val="24"/>
          <w:szCs w:val="24"/>
        </w:rPr>
        <w:t>“E” = Education/Workforce</w:t>
      </w:r>
    </w:p>
    <w:p w:rsidR="00672A78" w:rsidRPr="00672A78" w:rsidRDefault="00672A78" w:rsidP="00672A78">
      <w:pPr>
        <w:pStyle w:val="ListParagraph"/>
        <w:numPr>
          <w:ilvl w:val="0"/>
          <w:numId w:val="9"/>
        </w:numPr>
        <w:spacing w:line="240" w:lineRule="auto"/>
        <w:rPr>
          <w:sz w:val="24"/>
          <w:szCs w:val="24"/>
        </w:rPr>
      </w:pPr>
      <w:r w:rsidRPr="00672A78">
        <w:rPr>
          <w:sz w:val="24"/>
          <w:szCs w:val="24"/>
        </w:rPr>
        <w:t>“I” = Infrastructure</w:t>
      </w:r>
    </w:p>
    <w:p w:rsidR="00672A78" w:rsidRPr="00672A78" w:rsidRDefault="00672A78" w:rsidP="00672A78">
      <w:pPr>
        <w:pStyle w:val="ListParagraph"/>
        <w:numPr>
          <w:ilvl w:val="0"/>
          <w:numId w:val="9"/>
        </w:numPr>
        <w:spacing w:line="240" w:lineRule="auto"/>
        <w:rPr>
          <w:sz w:val="24"/>
          <w:szCs w:val="24"/>
        </w:rPr>
      </w:pPr>
      <w:r w:rsidRPr="00672A78">
        <w:rPr>
          <w:sz w:val="24"/>
          <w:szCs w:val="24"/>
        </w:rPr>
        <w:t>“C” = Capital</w:t>
      </w:r>
    </w:p>
    <w:p w:rsidR="00672A78" w:rsidRPr="00672A78" w:rsidRDefault="00672A78" w:rsidP="00672A78">
      <w:pPr>
        <w:spacing w:line="240" w:lineRule="auto"/>
        <w:rPr>
          <w:sz w:val="24"/>
          <w:szCs w:val="24"/>
        </w:rPr>
      </w:pPr>
      <w:r w:rsidRPr="00672A78">
        <w:rPr>
          <w:sz w:val="24"/>
          <w:szCs w:val="24"/>
        </w:rPr>
        <w:t xml:space="preserve">The </w:t>
      </w:r>
      <w:r w:rsidRPr="00672A78">
        <w:rPr>
          <w:sz w:val="24"/>
          <w:szCs w:val="24"/>
          <w:u w:val="single"/>
        </w:rPr>
        <w:t>North Georgia Network</w:t>
      </w:r>
      <w:r w:rsidRPr="00672A78">
        <w:rPr>
          <w:sz w:val="24"/>
          <w:szCs w:val="24"/>
        </w:rPr>
        <w:t xml:space="preserve"> is proposing to create a fiber route that will travel through Hart and Franklin counties in the Georgia Mountains region and Madison, Jackson and Barrow counties in the Northeast Georgia region to metro Atlanta. The Joint Development Authority of Franklin, Hart and Stephens Counties is seeking funding through the One Georgia Equity Fund program to construct the fiber line between the lateral termination point in Hart County (a substation just south of Royston in Hart County) and Atlanta.</w:t>
      </w:r>
    </w:p>
    <w:p w:rsidR="00672A78" w:rsidRPr="00672A78" w:rsidRDefault="00672A78" w:rsidP="00672A78">
      <w:pPr>
        <w:spacing w:line="240" w:lineRule="auto"/>
        <w:rPr>
          <w:b/>
          <w:sz w:val="24"/>
          <w:szCs w:val="24"/>
        </w:rPr>
      </w:pPr>
      <w:r w:rsidRPr="00672A78">
        <w:rPr>
          <w:b/>
          <w:sz w:val="24"/>
          <w:szCs w:val="24"/>
        </w:rPr>
        <w:t>Project type: I</w:t>
      </w:r>
    </w:p>
    <w:p w:rsidR="00672A78" w:rsidRPr="00672A78" w:rsidRDefault="00672A78" w:rsidP="00672A78">
      <w:pPr>
        <w:spacing w:line="240" w:lineRule="auto"/>
        <w:rPr>
          <w:sz w:val="24"/>
          <w:szCs w:val="24"/>
        </w:rPr>
      </w:pPr>
      <w:r w:rsidRPr="00672A78">
        <w:rPr>
          <w:sz w:val="24"/>
          <w:szCs w:val="24"/>
          <w:u w:val="single"/>
        </w:rPr>
        <w:t>Upload Newton</w:t>
      </w:r>
      <w:r w:rsidRPr="00672A78">
        <w:rPr>
          <w:sz w:val="24"/>
          <w:szCs w:val="24"/>
        </w:rPr>
        <w:t xml:space="preserve"> was organized for the first time in February 2014 by The Center for Community Preservation and </w:t>
      </w:r>
      <w:proofErr w:type="gramStart"/>
      <w:r w:rsidRPr="00672A78">
        <w:rPr>
          <w:sz w:val="24"/>
          <w:szCs w:val="24"/>
        </w:rPr>
        <w:t>Planning</w:t>
      </w:r>
      <w:proofErr w:type="gramEnd"/>
      <w:r w:rsidRPr="00672A78">
        <w:rPr>
          <w:sz w:val="24"/>
          <w:szCs w:val="24"/>
        </w:rPr>
        <w:t xml:space="preserve"> to be a one-day challenge for independent developers and designers to serve local businesses’ web-based needs. Three challenge options were available for participants: design a logo for Franklin Restoration, build a basic website for Church of the Good Shepherd, or develop a mobile application prototype for the Rockdale/Covington News.</w:t>
      </w:r>
    </w:p>
    <w:p w:rsidR="00672A78" w:rsidRPr="00672A78" w:rsidRDefault="00672A78" w:rsidP="00672A78">
      <w:pPr>
        <w:spacing w:line="240" w:lineRule="auto"/>
        <w:rPr>
          <w:b/>
          <w:sz w:val="24"/>
          <w:szCs w:val="24"/>
        </w:rPr>
      </w:pPr>
      <w:r w:rsidRPr="00672A78">
        <w:rPr>
          <w:b/>
          <w:sz w:val="24"/>
          <w:szCs w:val="24"/>
        </w:rPr>
        <w:t>Project type: E, C</w:t>
      </w:r>
    </w:p>
    <w:p w:rsidR="00672A78" w:rsidRPr="00672A78" w:rsidRDefault="00672A78" w:rsidP="00672A78">
      <w:pPr>
        <w:spacing w:line="240" w:lineRule="auto"/>
        <w:rPr>
          <w:sz w:val="24"/>
          <w:szCs w:val="24"/>
        </w:rPr>
      </w:pPr>
      <w:r w:rsidRPr="00672A78">
        <w:rPr>
          <w:sz w:val="24"/>
          <w:szCs w:val="24"/>
          <w:u w:val="single"/>
        </w:rPr>
        <w:t>Hack for Athens</w:t>
      </w:r>
      <w:r w:rsidRPr="00672A78">
        <w:rPr>
          <w:sz w:val="24"/>
          <w:szCs w:val="24"/>
        </w:rPr>
        <w:t xml:space="preserve"> is an annual two-day event organized in conjunction with the National Day of Civic Hacking and licensed under Random Hacks of Kindness. Web and software developers, designers, community organizers, and other folks from all over Athens-Clarke County gather to tackle local challenges with technology.</w:t>
      </w:r>
    </w:p>
    <w:p w:rsidR="00672A78" w:rsidRPr="00672A78" w:rsidRDefault="00672A78" w:rsidP="00672A78">
      <w:pPr>
        <w:spacing w:line="240" w:lineRule="auto"/>
        <w:rPr>
          <w:b/>
          <w:sz w:val="24"/>
          <w:szCs w:val="24"/>
        </w:rPr>
      </w:pPr>
      <w:r w:rsidRPr="00672A78">
        <w:rPr>
          <w:b/>
          <w:sz w:val="24"/>
          <w:szCs w:val="24"/>
        </w:rPr>
        <w:t>Project type: E, I, C</w:t>
      </w:r>
    </w:p>
    <w:p w:rsidR="00672A78" w:rsidRPr="00672A78" w:rsidRDefault="00672A78" w:rsidP="00672A78">
      <w:pPr>
        <w:spacing w:line="240" w:lineRule="auto"/>
        <w:rPr>
          <w:sz w:val="24"/>
          <w:szCs w:val="24"/>
        </w:rPr>
      </w:pPr>
      <w:r w:rsidRPr="00672A78">
        <w:rPr>
          <w:sz w:val="24"/>
          <w:szCs w:val="24"/>
        </w:rPr>
        <w:t xml:space="preserve">The </w:t>
      </w:r>
      <w:r w:rsidRPr="00672A78">
        <w:rPr>
          <w:sz w:val="24"/>
          <w:szCs w:val="24"/>
          <w:u w:val="single"/>
        </w:rPr>
        <w:t>Newton County School System Technology Conference</w:t>
      </w:r>
      <w:r w:rsidRPr="00672A78">
        <w:rPr>
          <w:sz w:val="24"/>
          <w:szCs w:val="24"/>
        </w:rPr>
        <w:t xml:space="preserve"> has been held annually since 2010, and was developed for the purpose of offering innovative ideas for implementing technology into every classroom in Newton County. </w:t>
      </w:r>
    </w:p>
    <w:p w:rsidR="00672A78" w:rsidRPr="00672A78" w:rsidRDefault="00672A78" w:rsidP="00672A78">
      <w:pPr>
        <w:spacing w:line="240" w:lineRule="auto"/>
        <w:rPr>
          <w:b/>
          <w:sz w:val="24"/>
          <w:szCs w:val="24"/>
        </w:rPr>
      </w:pPr>
      <w:r w:rsidRPr="00672A78">
        <w:rPr>
          <w:b/>
          <w:sz w:val="24"/>
          <w:szCs w:val="24"/>
        </w:rPr>
        <w:t>Project type: E</w:t>
      </w:r>
    </w:p>
    <w:p w:rsidR="00672A78" w:rsidRPr="00672A78" w:rsidRDefault="00672A78" w:rsidP="00672A78">
      <w:pPr>
        <w:spacing w:line="240" w:lineRule="auto"/>
        <w:rPr>
          <w:sz w:val="24"/>
          <w:szCs w:val="24"/>
        </w:rPr>
      </w:pPr>
      <w:r w:rsidRPr="00672A78">
        <w:rPr>
          <w:sz w:val="24"/>
          <w:szCs w:val="24"/>
          <w:u w:val="single"/>
        </w:rPr>
        <w:t>Rails Girls Athens</w:t>
      </w:r>
      <w:r w:rsidRPr="00672A78">
        <w:rPr>
          <w:sz w:val="24"/>
          <w:szCs w:val="24"/>
        </w:rPr>
        <w:t xml:space="preserve"> was organized by local volunteers for the first time in April 2014. As part of an international Rails Girls initiative, Rails Girls Athens aims to open up technology and make it more approachable for girls and women by teaching Ruby on Rails over the course of a weekend workshop event. A Meetup.com group, created to maintain the momentum of the event, holds monthly meetings in Athens-Clarke County to learn and teach the Ruby on Rails coding language via collaborative projects.</w:t>
      </w:r>
    </w:p>
    <w:p w:rsidR="00672A78" w:rsidRPr="00672A78" w:rsidRDefault="00672A78" w:rsidP="00672A78">
      <w:pPr>
        <w:spacing w:line="240" w:lineRule="auto"/>
        <w:rPr>
          <w:b/>
          <w:sz w:val="24"/>
          <w:szCs w:val="24"/>
        </w:rPr>
      </w:pPr>
      <w:r w:rsidRPr="00672A78">
        <w:rPr>
          <w:b/>
          <w:sz w:val="24"/>
          <w:szCs w:val="24"/>
        </w:rPr>
        <w:t>Project type: E</w:t>
      </w:r>
    </w:p>
    <w:p w:rsidR="00672A78" w:rsidRPr="00672A78" w:rsidRDefault="00672A78" w:rsidP="00672A78">
      <w:pPr>
        <w:spacing w:line="240" w:lineRule="auto"/>
        <w:rPr>
          <w:sz w:val="24"/>
          <w:szCs w:val="24"/>
        </w:rPr>
      </w:pPr>
      <w:r w:rsidRPr="00672A78">
        <w:rPr>
          <w:sz w:val="24"/>
          <w:szCs w:val="24"/>
        </w:rPr>
        <w:lastRenderedPageBreak/>
        <w:t xml:space="preserve">Many Northeast Georgia school districts are adopting </w:t>
      </w:r>
      <w:r w:rsidRPr="00672A78">
        <w:rPr>
          <w:sz w:val="24"/>
          <w:szCs w:val="24"/>
          <w:u w:val="single"/>
        </w:rPr>
        <w:t>Bring Your Own Technology/Bring Your Own Device (BYOT/BYOD)</w:t>
      </w:r>
      <w:r w:rsidRPr="00672A78">
        <w:rPr>
          <w:sz w:val="24"/>
          <w:szCs w:val="24"/>
        </w:rPr>
        <w:t xml:space="preserve"> policies and implementing </w:t>
      </w:r>
      <w:r w:rsidRPr="00672A78">
        <w:rPr>
          <w:sz w:val="24"/>
          <w:szCs w:val="24"/>
          <w:u w:val="single"/>
        </w:rPr>
        <w:t>One-to-One (1:1)</w:t>
      </w:r>
      <w:r w:rsidRPr="00672A78">
        <w:rPr>
          <w:sz w:val="24"/>
          <w:szCs w:val="24"/>
        </w:rPr>
        <w:t xml:space="preserve"> initiatives to encourage digital learning in classrooms.</w:t>
      </w:r>
    </w:p>
    <w:p w:rsidR="00672A78" w:rsidRPr="00672A78" w:rsidRDefault="00672A78" w:rsidP="00672A78">
      <w:pPr>
        <w:spacing w:line="240" w:lineRule="auto"/>
        <w:rPr>
          <w:b/>
          <w:sz w:val="24"/>
          <w:szCs w:val="24"/>
        </w:rPr>
      </w:pPr>
      <w:r w:rsidRPr="00672A78">
        <w:rPr>
          <w:b/>
          <w:sz w:val="24"/>
          <w:szCs w:val="24"/>
        </w:rPr>
        <w:t>Project type: E</w:t>
      </w:r>
    </w:p>
    <w:p w:rsidR="00672A78" w:rsidRPr="00672A78" w:rsidRDefault="00672A78" w:rsidP="00672A78">
      <w:pPr>
        <w:spacing w:line="240" w:lineRule="auto"/>
        <w:rPr>
          <w:sz w:val="24"/>
          <w:szCs w:val="24"/>
        </w:rPr>
      </w:pPr>
      <w:r w:rsidRPr="00672A78">
        <w:rPr>
          <w:sz w:val="24"/>
          <w:szCs w:val="24"/>
          <w:u w:val="single"/>
        </w:rPr>
        <w:t>Four Athens</w:t>
      </w:r>
      <w:r w:rsidRPr="00672A78">
        <w:rPr>
          <w:sz w:val="24"/>
          <w:szCs w:val="24"/>
        </w:rPr>
        <w:t xml:space="preserve"> is a technology incubator located in downtown Athens-Clarke County. It was formed to provide physical workspace, shared amenities, mentorship, and guidance to technology-related business start-ups.</w:t>
      </w:r>
    </w:p>
    <w:p w:rsidR="00672A78" w:rsidRPr="00672A78" w:rsidRDefault="00672A78" w:rsidP="00672A78">
      <w:pPr>
        <w:spacing w:line="240" w:lineRule="auto"/>
        <w:rPr>
          <w:b/>
          <w:sz w:val="24"/>
          <w:szCs w:val="24"/>
        </w:rPr>
      </w:pPr>
      <w:r w:rsidRPr="00672A78">
        <w:rPr>
          <w:b/>
          <w:sz w:val="24"/>
          <w:szCs w:val="24"/>
        </w:rPr>
        <w:t>Project type: E, I, C</w:t>
      </w:r>
    </w:p>
    <w:p w:rsidR="00672A78" w:rsidRPr="00672A78" w:rsidRDefault="00672A78" w:rsidP="00672A78">
      <w:pPr>
        <w:spacing w:line="240" w:lineRule="auto"/>
        <w:rPr>
          <w:sz w:val="24"/>
          <w:szCs w:val="24"/>
        </w:rPr>
      </w:pPr>
      <w:r w:rsidRPr="00672A78">
        <w:rPr>
          <w:sz w:val="24"/>
          <w:szCs w:val="24"/>
        </w:rPr>
        <w:t xml:space="preserve">The </w:t>
      </w:r>
      <w:r w:rsidRPr="00672A78">
        <w:rPr>
          <w:sz w:val="24"/>
          <w:szCs w:val="24"/>
          <w:u w:val="single"/>
        </w:rPr>
        <w:t xml:space="preserve">Georgia </w:t>
      </w:r>
      <w:proofErr w:type="spellStart"/>
      <w:r w:rsidRPr="00672A78">
        <w:rPr>
          <w:sz w:val="24"/>
          <w:szCs w:val="24"/>
          <w:u w:val="single"/>
        </w:rPr>
        <w:t>BioBusiness</w:t>
      </w:r>
      <w:proofErr w:type="spellEnd"/>
      <w:r w:rsidRPr="00672A78">
        <w:rPr>
          <w:sz w:val="24"/>
          <w:szCs w:val="24"/>
          <w:u w:val="single"/>
        </w:rPr>
        <w:t xml:space="preserve"> Center</w:t>
      </w:r>
      <w:r w:rsidRPr="00672A78">
        <w:rPr>
          <w:sz w:val="24"/>
          <w:szCs w:val="24"/>
        </w:rPr>
        <w:t xml:space="preserve"> (GBBC) is a bioscience and technology incubator located on the main University of Georgia campus in Athens-Clarke County. With a focus on academic entrepreneurship, the GBBC encourages “the commercialization of UGA faculty, staff, and student discoveries in the fields of medicine, agriculture, bioinformatics and environmental science.” (</w:t>
      </w:r>
      <w:proofErr w:type="gramStart"/>
      <w:r w:rsidRPr="00672A78">
        <w:rPr>
          <w:sz w:val="24"/>
          <w:szCs w:val="24"/>
        </w:rPr>
        <w:t>sourced</w:t>
      </w:r>
      <w:proofErr w:type="gramEnd"/>
      <w:r w:rsidRPr="00672A78">
        <w:rPr>
          <w:sz w:val="24"/>
          <w:szCs w:val="24"/>
        </w:rPr>
        <w:t xml:space="preserve"> on 6/30/14 from </w:t>
      </w:r>
      <w:hyperlink r:id="rId50" w:history="1">
        <w:r w:rsidRPr="00672A78">
          <w:rPr>
            <w:rStyle w:val="Hyperlink"/>
            <w:sz w:val="24"/>
            <w:szCs w:val="24"/>
          </w:rPr>
          <w:t>http://www.ovpr.uga.edu/gbbc/</w:t>
        </w:r>
      </w:hyperlink>
      <w:r w:rsidRPr="00672A78">
        <w:rPr>
          <w:sz w:val="24"/>
          <w:szCs w:val="24"/>
        </w:rPr>
        <w:t xml:space="preserve">) </w:t>
      </w:r>
    </w:p>
    <w:p w:rsidR="00672A78" w:rsidRPr="00672A78" w:rsidRDefault="00672A78" w:rsidP="00672A78">
      <w:pPr>
        <w:spacing w:line="240" w:lineRule="auto"/>
        <w:rPr>
          <w:b/>
          <w:sz w:val="24"/>
          <w:szCs w:val="24"/>
        </w:rPr>
      </w:pPr>
      <w:r w:rsidRPr="00672A78">
        <w:rPr>
          <w:b/>
          <w:sz w:val="24"/>
          <w:szCs w:val="24"/>
        </w:rPr>
        <w:t>Project type: E, I, C</w:t>
      </w:r>
    </w:p>
    <w:p w:rsidR="00672A78" w:rsidRPr="00672A78" w:rsidRDefault="00672A78" w:rsidP="00672A78">
      <w:pPr>
        <w:spacing w:line="240" w:lineRule="auto"/>
        <w:rPr>
          <w:sz w:val="24"/>
          <w:szCs w:val="24"/>
        </w:rPr>
      </w:pPr>
      <w:r w:rsidRPr="00672A78">
        <w:rPr>
          <w:sz w:val="24"/>
          <w:szCs w:val="24"/>
        </w:rPr>
        <w:t xml:space="preserve">The </w:t>
      </w:r>
      <w:r w:rsidRPr="00672A78">
        <w:rPr>
          <w:sz w:val="24"/>
          <w:szCs w:val="24"/>
          <w:u w:val="single"/>
        </w:rPr>
        <w:t>New Media Institute</w:t>
      </w:r>
      <w:r w:rsidRPr="00672A78">
        <w:rPr>
          <w:sz w:val="24"/>
          <w:szCs w:val="24"/>
        </w:rPr>
        <w:t xml:space="preserve"> (NMI) is a teaching and research unit within the University of Georgia Grady College of Journalism and Mass Communication with a focus on digital media technology. The NMI offers a New Media Interdisciplinary Certificate, demonstrating to future employers a mastery of technology as applied within a student’s chosen field.</w:t>
      </w:r>
    </w:p>
    <w:p w:rsidR="00672A78" w:rsidRPr="00672A78" w:rsidRDefault="00672A78" w:rsidP="00672A78">
      <w:pPr>
        <w:spacing w:line="240" w:lineRule="auto"/>
        <w:rPr>
          <w:b/>
          <w:sz w:val="24"/>
          <w:szCs w:val="24"/>
        </w:rPr>
      </w:pPr>
      <w:r w:rsidRPr="00672A78">
        <w:rPr>
          <w:b/>
          <w:sz w:val="24"/>
          <w:szCs w:val="24"/>
        </w:rPr>
        <w:t>Project type: E</w:t>
      </w:r>
    </w:p>
    <w:p w:rsidR="00672A78" w:rsidRPr="00672A78" w:rsidRDefault="00672A78" w:rsidP="00672A78">
      <w:pPr>
        <w:spacing w:line="240" w:lineRule="auto"/>
        <w:rPr>
          <w:sz w:val="24"/>
          <w:szCs w:val="24"/>
        </w:rPr>
      </w:pPr>
      <w:r w:rsidRPr="00672A78">
        <w:rPr>
          <w:sz w:val="24"/>
          <w:szCs w:val="24"/>
        </w:rPr>
        <w:t xml:space="preserve">Several Northeast Georgia communities are interested in potentially offering broadband services directly to citizens. Commerce will soon conduct a study to this effect, and the Oxford listed the effort as a line item in the 2013-2018 Short-Term Work Program of its comprehensive plan. A group of stakeholders in Athens-Clarke County is researching methods for getting internet services to low-income neighborhoods. Currently in Northeast Georgia, the cities of Elberton and Monroe offer </w:t>
      </w:r>
      <w:r w:rsidRPr="00672A78">
        <w:rPr>
          <w:sz w:val="24"/>
          <w:szCs w:val="24"/>
          <w:u w:val="single"/>
        </w:rPr>
        <w:t>municipal broadband</w:t>
      </w:r>
      <w:r w:rsidRPr="00672A78">
        <w:rPr>
          <w:sz w:val="24"/>
          <w:szCs w:val="24"/>
        </w:rPr>
        <w:t>. (See the Section III Appendix for summaries of interviews with the Elberton and Monroe broadband utility providers.) All four of these communities (along with the Covington, Mansfield, and Monticello), as public power utilities, are members of the Municipal Electric Authority of Georgia (MEAG) and Electric Cities of Georgia (ECG).</w:t>
      </w:r>
    </w:p>
    <w:p w:rsidR="00672A78" w:rsidRPr="00672A78" w:rsidRDefault="00672A78" w:rsidP="00672A78">
      <w:pPr>
        <w:spacing w:line="240" w:lineRule="auto"/>
        <w:rPr>
          <w:b/>
          <w:sz w:val="24"/>
          <w:szCs w:val="24"/>
        </w:rPr>
      </w:pPr>
      <w:r w:rsidRPr="00672A78">
        <w:rPr>
          <w:b/>
          <w:sz w:val="24"/>
          <w:szCs w:val="24"/>
        </w:rPr>
        <w:t>Project type: I, E</w:t>
      </w:r>
    </w:p>
    <w:p w:rsidR="00672A78" w:rsidRPr="00672A78" w:rsidRDefault="00672A78" w:rsidP="00672A78">
      <w:pPr>
        <w:spacing w:line="240" w:lineRule="auto"/>
        <w:rPr>
          <w:sz w:val="24"/>
          <w:szCs w:val="24"/>
        </w:rPr>
      </w:pPr>
      <w:r w:rsidRPr="00672A78">
        <w:rPr>
          <w:sz w:val="24"/>
          <w:szCs w:val="24"/>
        </w:rPr>
        <w:t xml:space="preserve">The mission of the Athens chapter of the </w:t>
      </w:r>
      <w:r w:rsidRPr="00672A78">
        <w:rPr>
          <w:sz w:val="24"/>
          <w:szCs w:val="24"/>
          <w:u w:val="single"/>
        </w:rPr>
        <w:t>Technology Association of Georgia</w:t>
      </w:r>
      <w:r w:rsidRPr="00672A78">
        <w:rPr>
          <w:sz w:val="24"/>
          <w:szCs w:val="24"/>
        </w:rPr>
        <w:t xml:space="preserve"> (TAG) is “educating, uniting, promoting, and influencing Georgia's technology community in the Athens area.” (</w:t>
      </w:r>
      <w:proofErr w:type="gramStart"/>
      <w:r w:rsidRPr="00672A78">
        <w:rPr>
          <w:sz w:val="24"/>
          <w:szCs w:val="24"/>
        </w:rPr>
        <w:t>sourced</w:t>
      </w:r>
      <w:proofErr w:type="gramEnd"/>
      <w:r w:rsidRPr="00672A78">
        <w:rPr>
          <w:sz w:val="24"/>
          <w:szCs w:val="24"/>
        </w:rPr>
        <w:t xml:space="preserve"> on 6/30/14 from </w:t>
      </w:r>
      <w:hyperlink r:id="rId51" w:history="1">
        <w:r w:rsidRPr="00672A78">
          <w:rPr>
            <w:rStyle w:val="Hyperlink"/>
            <w:sz w:val="24"/>
            <w:szCs w:val="24"/>
          </w:rPr>
          <w:t>http://www.tagonline.org/chapters-and-societies/athens/</w:t>
        </w:r>
      </w:hyperlink>
      <w:r w:rsidRPr="00672A78">
        <w:rPr>
          <w:sz w:val="24"/>
          <w:szCs w:val="24"/>
        </w:rPr>
        <w:t>) The TAG Athens Board of Directors comprises local elected officials as well as university, nonprofit, and private sector representatives.</w:t>
      </w:r>
    </w:p>
    <w:p w:rsidR="00672A78" w:rsidRPr="00672A78" w:rsidRDefault="00672A78" w:rsidP="00672A78">
      <w:pPr>
        <w:spacing w:line="240" w:lineRule="auto"/>
        <w:rPr>
          <w:b/>
          <w:sz w:val="24"/>
          <w:szCs w:val="24"/>
        </w:rPr>
      </w:pPr>
      <w:r w:rsidRPr="00672A78">
        <w:rPr>
          <w:b/>
          <w:sz w:val="24"/>
          <w:szCs w:val="24"/>
        </w:rPr>
        <w:t>Project type: E</w:t>
      </w:r>
    </w:p>
    <w:p w:rsidR="00672A78" w:rsidRPr="00672A78" w:rsidRDefault="00672A78" w:rsidP="00672A78">
      <w:pPr>
        <w:spacing w:line="240" w:lineRule="auto"/>
        <w:rPr>
          <w:b/>
          <w:i/>
          <w:sz w:val="24"/>
          <w:szCs w:val="24"/>
        </w:rPr>
      </w:pPr>
      <w:r w:rsidRPr="00672A78">
        <w:rPr>
          <w:b/>
          <w:i/>
          <w:sz w:val="24"/>
          <w:szCs w:val="24"/>
        </w:rPr>
        <w:lastRenderedPageBreak/>
        <w:t>Previous Efforts</w:t>
      </w:r>
    </w:p>
    <w:p w:rsidR="00672A78" w:rsidRPr="00672A78" w:rsidRDefault="00672A78" w:rsidP="00672A78">
      <w:pPr>
        <w:spacing w:line="240" w:lineRule="auto"/>
        <w:rPr>
          <w:sz w:val="24"/>
          <w:szCs w:val="24"/>
        </w:rPr>
      </w:pPr>
      <w:r w:rsidRPr="00672A78">
        <w:rPr>
          <w:sz w:val="24"/>
          <w:szCs w:val="24"/>
        </w:rPr>
        <w:t>In 2009, the Athens-Clarke Economic Development Foundation (absorbed in 2013 by the newly-created Athens-Clarke Economic Development Department) applied for a federal grant to develop Northeast Georgia Net, a project calling for $3.2 million to develop wireless Internet networks covering 29 cities in Clarke, Barrow, Jackson, Madison, Oconee and Oglethorpe counties. The project was not funded.</w:t>
      </w:r>
    </w:p>
    <w:p w:rsidR="00672A78" w:rsidRDefault="00672A78" w:rsidP="00672A78">
      <w:pPr>
        <w:spacing w:line="240" w:lineRule="auto"/>
        <w:rPr>
          <w:b/>
          <w:sz w:val="24"/>
          <w:szCs w:val="24"/>
        </w:rPr>
      </w:pPr>
      <w:r w:rsidRPr="00672A78">
        <w:rPr>
          <w:b/>
          <w:sz w:val="24"/>
          <w:szCs w:val="24"/>
        </w:rPr>
        <w:t>Project type: I</w:t>
      </w:r>
    </w:p>
    <w:p w:rsidR="00672A78" w:rsidRDefault="00672A78" w:rsidP="00672A78">
      <w:pPr>
        <w:spacing w:line="240" w:lineRule="auto"/>
        <w:rPr>
          <w:b/>
          <w:sz w:val="24"/>
          <w:szCs w:val="24"/>
        </w:rPr>
      </w:pPr>
    </w:p>
    <w:p w:rsidR="00672A78" w:rsidRDefault="00672A78" w:rsidP="00672A78">
      <w:pPr>
        <w:spacing w:line="240" w:lineRule="auto"/>
        <w:rPr>
          <w:b/>
          <w:sz w:val="24"/>
          <w:szCs w:val="24"/>
        </w:rPr>
        <w:sectPr w:rsidR="00672A78" w:rsidSect="00960B5D">
          <w:headerReference w:type="even" r:id="rId52"/>
          <w:headerReference w:type="default" r:id="rId53"/>
          <w:headerReference w:type="first" r:id="rId54"/>
          <w:pgSz w:w="12240" w:h="15840"/>
          <w:pgMar w:top="1440" w:right="1440" w:bottom="1440" w:left="1440" w:header="720" w:footer="720" w:gutter="0"/>
          <w:cols w:space="720"/>
          <w:docGrid w:linePitch="360"/>
        </w:sectPr>
      </w:pPr>
    </w:p>
    <w:p w:rsidR="00672A78" w:rsidRPr="00672A78" w:rsidRDefault="00672A78" w:rsidP="00B57C69">
      <w:pPr>
        <w:pStyle w:val="Heading1"/>
      </w:pPr>
      <w:bookmarkStart w:id="35" w:name="_Toc395275948"/>
      <w:r w:rsidRPr="00672A78">
        <w:lastRenderedPageBreak/>
        <w:t>SWOC</w:t>
      </w:r>
      <w:bookmarkEnd w:id="35"/>
    </w:p>
    <w:p w:rsidR="00B21702" w:rsidRDefault="00243C64" w:rsidP="00A55D1F">
      <w:pPr>
        <w:spacing w:after="0" w:line="240" w:lineRule="auto"/>
        <w:jc w:val="both"/>
        <w:rPr>
          <w:rFonts w:cstheme="minorHAnsi"/>
          <w:sz w:val="24"/>
          <w:szCs w:val="24"/>
        </w:rPr>
      </w:pPr>
      <w:r w:rsidRPr="00243C64">
        <w:rPr>
          <w:rFonts w:cstheme="minorHAnsi"/>
          <w:sz w:val="24"/>
          <w:szCs w:val="24"/>
        </w:rPr>
        <w:t>The following table depicts the major Strengths, Weaknesses, Opportunities, and Challenges of the digital economy in Northeast Georgia, as gleaned from stakeholders during the planning process. Items identified by NEGRC staff as most critical to the region are highlighted.</w:t>
      </w:r>
    </w:p>
    <w:p w:rsidR="00A55D1F" w:rsidRDefault="00A55D1F" w:rsidP="00A55D1F">
      <w:pPr>
        <w:spacing w:after="0" w:line="240" w:lineRule="auto"/>
        <w:jc w:val="both"/>
        <w:rPr>
          <w:rFonts w:cstheme="minorHAnsi"/>
          <w:sz w:val="24"/>
          <w:szCs w:val="24"/>
        </w:rPr>
      </w:pPr>
    </w:p>
    <w:p w:rsidR="00A55D1F" w:rsidRPr="00A55D1F" w:rsidRDefault="00A55D1F" w:rsidP="00A55D1F">
      <w:pPr>
        <w:pStyle w:val="Caption"/>
        <w:keepNext/>
        <w:rPr>
          <w:color w:val="auto"/>
        </w:rPr>
      </w:pPr>
      <w:r w:rsidRPr="00A55D1F">
        <w:rPr>
          <w:color w:val="auto"/>
        </w:rPr>
        <w:t xml:space="preserve">Table </w:t>
      </w:r>
      <w:r w:rsidRPr="00A55D1F">
        <w:rPr>
          <w:color w:val="auto"/>
        </w:rPr>
        <w:fldChar w:fldCharType="begin"/>
      </w:r>
      <w:r w:rsidRPr="00A55D1F">
        <w:rPr>
          <w:color w:val="auto"/>
        </w:rPr>
        <w:instrText xml:space="preserve"> SEQ Table \* ARABIC </w:instrText>
      </w:r>
      <w:r w:rsidRPr="00A55D1F">
        <w:rPr>
          <w:color w:val="auto"/>
        </w:rPr>
        <w:fldChar w:fldCharType="separate"/>
      </w:r>
      <w:r w:rsidR="00B91CD4">
        <w:rPr>
          <w:noProof/>
          <w:color w:val="auto"/>
        </w:rPr>
        <w:t>18</w:t>
      </w:r>
      <w:r w:rsidRPr="00A55D1F">
        <w:rPr>
          <w:color w:val="auto"/>
        </w:rPr>
        <w:fldChar w:fldCharType="end"/>
      </w:r>
    </w:p>
    <w:tbl>
      <w:tblPr>
        <w:tblW w:w="9555" w:type="dxa"/>
        <w:tblInd w:w="93" w:type="dxa"/>
        <w:tblLook w:val="04A0" w:firstRow="1" w:lastRow="0" w:firstColumn="1" w:lastColumn="0" w:noHBand="0" w:noVBand="1"/>
      </w:tblPr>
      <w:tblGrid>
        <w:gridCol w:w="4765"/>
        <w:gridCol w:w="2160"/>
        <w:gridCol w:w="1370"/>
        <w:gridCol w:w="1260"/>
      </w:tblGrid>
      <w:tr w:rsidR="00C10E3B" w:rsidRPr="00C10E3B" w:rsidTr="00A55D1F">
        <w:trPr>
          <w:trHeight w:val="315"/>
        </w:trPr>
        <w:tc>
          <w:tcPr>
            <w:tcW w:w="47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bookmarkStart w:id="36" w:name="RANGE!A1:D36"/>
            <w:r w:rsidRPr="00C10E3B">
              <w:rPr>
                <w:rFonts w:ascii="Calibri" w:eastAsia="Times New Roman" w:hAnsi="Calibri" w:cs="Times New Roman"/>
                <w:color w:val="000000"/>
                <w:sz w:val="20"/>
                <w:szCs w:val="20"/>
              </w:rPr>
              <w:t> </w:t>
            </w:r>
            <w:bookmarkEnd w:id="36"/>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Education/Workforce</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Infrastructure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Capital</w:t>
            </w:r>
          </w:p>
        </w:tc>
      </w:tr>
      <w:tr w:rsidR="00C10E3B" w:rsidRPr="00C10E3B" w:rsidTr="00A55D1F">
        <w:trPr>
          <w:trHeight w:val="31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Strengths</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3</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3</w:t>
            </w:r>
          </w:p>
        </w:tc>
      </w:tr>
      <w:tr w:rsidR="00C10E3B" w:rsidRPr="00C10E3B" w:rsidTr="00A55D1F">
        <w:trPr>
          <w:trHeight w:val="300"/>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Level of apparent wireless coverage throughout the region; Only 0.019% regional population unserved</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C10E3B" w:rsidRPr="00C10E3B" w:rsidTr="00A84945">
        <w:trPr>
          <w:trHeight w:val="300"/>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Level of apparent wireline coverage throughout the region; Only 5.04% regional population unserved</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55D1F" w:rsidRPr="00C10E3B" w:rsidTr="004230DE">
        <w:trPr>
          <w:trHeight w:val="315"/>
        </w:trPr>
        <w:tc>
          <w:tcPr>
            <w:tcW w:w="4765" w:type="dxa"/>
            <w:tcBorders>
              <w:top w:val="single" w:sz="4" w:space="0" w:color="auto"/>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K-12 school systems utilizing new mobile technologies for instruction</w:t>
            </w:r>
          </w:p>
        </w:tc>
        <w:tc>
          <w:tcPr>
            <w:tcW w:w="2160" w:type="dxa"/>
            <w:tcBorders>
              <w:top w:val="single" w:sz="4" w:space="0" w:color="auto"/>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370" w:type="dxa"/>
            <w:tcBorders>
              <w:top w:val="single" w:sz="4" w:space="0" w:color="auto"/>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single" w:sz="4" w:space="0" w:color="auto"/>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55D1F" w:rsidRPr="00C10E3B" w:rsidTr="004230DE">
        <w:trPr>
          <w:trHeight w:val="315"/>
        </w:trPr>
        <w:tc>
          <w:tcPr>
            <w:tcW w:w="4765" w:type="dxa"/>
            <w:tcBorders>
              <w:top w:val="single" w:sz="4" w:space="0" w:color="auto"/>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Two Northeast Georgia cities (Monroe and Elberton) offer municipal broadband access to residents</w:t>
            </w:r>
          </w:p>
        </w:tc>
        <w:tc>
          <w:tcPr>
            <w:tcW w:w="2160" w:type="dxa"/>
            <w:tcBorders>
              <w:top w:val="single" w:sz="4" w:space="0" w:color="auto"/>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single" w:sz="4" w:space="0" w:color="auto"/>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single" w:sz="4" w:space="0" w:color="auto"/>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C10E3B" w:rsidRPr="00C10E3B" w:rsidTr="00A55D1F">
        <w:trPr>
          <w:trHeight w:val="52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Two existing technology-related business incubators are located in Athens-Clarke County (</w:t>
            </w:r>
            <w:proofErr w:type="spellStart"/>
            <w:r w:rsidRPr="00C10E3B">
              <w:rPr>
                <w:rFonts w:ascii="Calibri" w:eastAsia="Times New Roman" w:hAnsi="Calibri" w:cs="Times New Roman"/>
                <w:color w:val="000000"/>
                <w:sz w:val="20"/>
                <w:szCs w:val="20"/>
              </w:rPr>
              <w:t>FourAthens</w:t>
            </w:r>
            <w:proofErr w:type="spellEnd"/>
            <w:r w:rsidRPr="00C10E3B">
              <w:rPr>
                <w:rFonts w:ascii="Calibri" w:eastAsia="Times New Roman" w:hAnsi="Calibri" w:cs="Times New Roman"/>
                <w:color w:val="000000"/>
                <w:sz w:val="20"/>
                <w:szCs w:val="20"/>
              </w:rPr>
              <w:t xml:space="preserve">, Georgia </w:t>
            </w:r>
            <w:proofErr w:type="spellStart"/>
            <w:r w:rsidRPr="00C10E3B">
              <w:rPr>
                <w:rFonts w:ascii="Calibri" w:eastAsia="Times New Roman" w:hAnsi="Calibri" w:cs="Times New Roman"/>
                <w:color w:val="000000"/>
                <w:sz w:val="20"/>
                <w:szCs w:val="20"/>
              </w:rPr>
              <w:t>BioBusiness</w:t>
            </w:r>
            <w:proofErr w:type="spellEnd"/>
            <w:r w:rsidRPr="00C10E3B">
              <w:rPr>
                <w:rFonts w:ascii="Calibri" w:eastAsia="Times New Roman" w:hAnsi="Calibri" w:cs="Times New Roman"/>
                <w:color w:val="000000"/>
                <w:sz w:val="20"/>
                <w:szCs w:val="20"/>
              </w:rPr>
              <w:t xml:space="preserve"> Center)</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r>
      <w:tr w:rsidR="00C10E3B" w:rsidRPr="00C10E3B" w:rsidTr="00A55D1F">
        <w:trPr>
          <w:trHeight w:val="300"/>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99% of business respondents to DEP questionnaire have access to the internet at their location</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C10E3B" w:rsidRPr="00C10E3B" w:rsidTr="00A55D1F">
        <w:trPr>
          <w:trHeight w:val="300"/>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Nearly 100% of resident respondents to the DEP questionnaire have an Internet-enabled device at home</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84945" w:rsidRPr="00C10E3B" w:rsidTr="004230DE">
        <w:trPr>
          <w:trHeight w:val="315"/>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UGA-Carl Vinson Institute’s Office of Information Technology Outreach Services (ITOS) as a resource</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84945" w:rsidRPr="00C10E3B" w:rsidTr="004230DE">
        <w:trPr>
          <w:trHeight w:val="525"/>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Basic computer classes offered at libraries, Athens Technical College, and Lanier Technical College campuses</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C10E3B" w:rsidRPr="00C10E3B" w:rsidTr="00A55D1F">
        <w:trPr>
          <w:trHeight w:val="52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Northeast GA region projected to grow manufacturing tech, information tech (IT), and other tech jobs at faster rate than the state through 2021</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r>
      <w:tr w:rsidR="00C10E3B" w:rsidRPr="00C10E3B" w:rsidTr="00A55D1F">
        <w:trPr>
          <w:trHeight w:val="52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Region has competitive advantage in the state for manufacturing tech occupations and for various life, physical, and social science occupations</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r>
      <w:tr w:rsidR="00C10E3B" w:rsidRPr="00C10E3B" w:rsidTr="00A55D1F">
        <w:trPr>
          <w:trHeight w:val="31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Weaknesses</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1</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6</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0</w:t>
            </w:r>
          </w:p>
        </w:tc>
      </w:tr>
      <w:tr w:rsidR="00A84945" w:rsidRPr="00C10E3B" w:rsidTr="004230DE">
        <w:trPr>
          <w:trHeight w:val="525"/>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Major wireline coverage gaps: Morgan (35.73% unserved); Jasper (28.59% unserved); Elbert (20.42% unserved); Greene (17.58% unserved); Madison (16.42% unserved); Oglethorpe (11.18% unserved)</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84945" w:rsidRPr="00C10E3B" w:rsidTr="004230DE">
        <w:trPr>
          <w:trHeight w:val="525"/>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Approximately 45% of the existing connections are via DSL; coverage for cable is relegated primarily to the western part of the region and surrounding county seats</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C10E3B" w:rsidRPr="00C10E3B" w:rsidTr="00A55D1F">
        <w:trPr>
          <w:trHeight w:val="52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Limited choice of internet service providers (ISPs) based on location; in most counties, there are two main competing ISPs</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C10E3B" w:rsidRPr="00C10E3B" w:rsidTr="00A55D1F">
        <w:trPr>
          <w:trHeight w:val="300"/>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Limited choice of broadband type for businesses and residents based on location</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C10E3B" w:rsidRPr="00C10E3B" w:rsidTr="00A55D1F">
        <w:trPr>
          <w:trHeight w:val="52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lastRenderedPageBreak/>
              <w:t>Minimal participation by local government officials in the digital economy stakeholder engagement process</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C10E3B" w:rsidRPr="00C10E3B" w:rsidTr="00A55D1F">
        <w:trPr>
          <w:trHeight w:val="58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51% of business respondents and 43% of resident respondents to the DEP questionnaire recently experienced non-weather related service disruptions lasting from 1 hour to 1 day</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84945" w:rsidRPr="00C10E3B" w:rsidTr="004230DE">
        <w:trPr>
          <w:trHeight w:val="525"/>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45% of resident respondents to the DEP questionnaire think their internet speed is “okay;” 24% find it to be slow or “severely limiting”</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C10E3B" w:rsidRPr="00C10E3B" w:rsidTr="00A55D1F">
        <w:trPr>
          <w:trHeight w:val="31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Opportunities</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5</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2</w:t>
            </w:r>
          </w:p>
        </w:tc>
      </w:tr>
      <w:tr w:rsidR="00C10E3B" w:rsidRPr="00C10E3B" w:rsidTr="00A55D1F">
        <w:trPr>
          <w:trHeight w:val="930"/>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63% of business respondents and 53% of resident respondents to the DEP questionnaire presume there will be a need to increase internet speed within the next 2 years</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C10E3B" w:rsidRPr="00C10E3B" w:rsidTr="00A55D1F">
        <w:trPr>
          <w:trHeight w:val="31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 xml:space="preserve">Growing demand for qualified IT professionals </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84945" w:rsidRPr="00C10E3B" w:rsidTr="004230DE">
        <w:trPr>
          <w:trHeight w:val="300"/>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Need for planning and coordination amongst local and regional organizations and agencies</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r>
      <w:tr w:rsidR="00C10E3B" w:rsidRPr="00C10E3B" w:rsidTr="00A55D1F">
        <w:trPr>
          <w:trHeight w:val="300"/>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Need for technical assistance and support for local and regional organizations and agencies</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84945" w:rsidRPr="00C10E3B" w:rsidTr="004230DE">
        <w:trPr>
          <w:trHeight w:val="315"/>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Need for affordable training on utilization/deployment of digital technologies</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84945" w:rsidRPr="00C10E3B" w:rsidTr="004230DE">
        <w:trPr>
          <w:trHeight w:val="1005"/>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Recently revised Georgia Department of Community Affairs local comprehensive planning guidelines encourage communities to develop specialized plans; relevant examples might include local digital economy, technology, and wireless facility plans</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r>
      <w:tr w:rsidR="00C10E3B" w:rsidRPr="00C10E3B" w:rsidTr="00A55D1F">
        <w:trPr>
          <w:trHeight w:val="31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Challenges</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1</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2</w:t>
            </w:r>
          </w:p>
        </w:tc>
      </w:tr>
      <w:tr w:rsidR="00C10E3B" w:rsidRPr="00C10E3B" w:rsidTr="00A55D1F">
        <w:trPr>
          <w:trHeight w:val="31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Pace of technology changes/updates is overwhelming</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84945" w:rsidRPr="00C10E3B" w:rsidTr="004230DE">
        <w:trPr>
          <w:trHeight w:val="615"/>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Hardware, software, and service affordability; gap exists between what people expect from service (access, speed, etc.) and what they are willing/able to pay to ISPs</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C10E3B" w:rsidRPr="00C10E3B" w:rsidTr="00A55D1F">
        <w:trPr>
          <w:trHeight w:val="300"/>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 xml:space="preserve">End of support for Microsoft Windows XP will require replacement of incompatible computers </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r>
      <w:tr w:rsidR="00A84945" w:rsidRPr="00C10E3B" w:rsidTr="004230DE">
        <w:trPr>
          <w:trHeight w:val="525"/>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Rural technology-related and Internet-based businesses long-term outlook is critically threatened by lack of reliable and efficient broadband infrastructure</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84945" w:rsidRPr="00C10E3B" w:rsidTr="004230DE">
        <w:trPr>
          <w:trHeight w:val="315"/>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Limited state and federal grant funding for digital economy projects</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r>
      <w:tr w:rsidR="00C10E3B" w:rsidRPr="00C10E3B" w:rsidTr="00A55D1F">
        <w:trPr>
          <w:trHeight w:val="525"/>
        </w:trPr>
        <w:tc>
          <w:tcPr>
            <w:tcW w:w="4765" w:type="dxa"/>
            <w:tcBorders>
              <w:top w:val="nil"/>
              <w:left w:val="single" w:sz="4" w:space="0" w:color="auto"/>
              <w:bottom w:val="single" w:sz="4" w:space="0" w:color="auto"/>
              <w:right w:val="single" w:sz="4" w:space="0" w:color="auto"/>
            </w:tcBorders>
            <w:shd w:val="clear" w:color="auto" w:fill="auto"/>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Mobile BILD Act (HB 176) places stricter procedural standards on local governments regarding regulation of location, construction, collocation, modification, and operation of wireless facilities</w:t>
            </w:r>
          </w:p>
        </w:tc>
        <w:tc>
          <w:tcPr>
            <w:tcW w:w="21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auto"/>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r w:rsidR="00A84945" w:rsidRPr="00C10E3B" w:rsidTr="004230DE">
        <w:trPr>
          <w:trHeight w:val="915"/>
        </w:trPr>
        <w:tc>
          <w:tcPr>
            <w:tcW w:w="4765" w:type="dxa"/>
            <w:tcBorders>
              <w:top w:val="nil"/>
              <w:left w:val="single" w:sz="4" w:space="0" w:color="auto"/>
              <w:bottom w:val="single" w:sz="4" w:space="0" w:color="auto"/>
              <w:right w:val="single" w:sz="4" w:space="0" w:color="auto"/>
            </w:tcBorders>
            <w:shd w:val="clear" w:color="auto" w:fill="D2EAF1"/>
            <w:vAlign w:val="bottom"/>
            <w:hideMark/>
          </w:tcPr>
          <w:p w:rsidR="00C10E3B" w:rsidRPr="00C10E3B" w:rsidRDefault="00C10E3B" w:rsidP="00C10E3B">
            <w:pPr>
              <w:spacing w:after="0" w:line="240" w:lineRule="auto"/>
              <w:rPr>
                <w:rFonts w:ascii="Calibri" w:eastAsia="Times New Roman" w:hAnsi="Calibri" w:cs="Times New Roman"/>
                <w:color w:val="000000"/>
                <w:sz w:val="20"/>
                <w:szCs w:val="20"/>
              </w:rPr>
            </w:pPr>
            <w:r w:rsidRPr="00C10E3B">
              <w:rPr>
                <w:rFonts w:ascii="Calibri" w:eastAsia="Times New Roman" w:hAnsi="Calibri" w:cs="Times New Roman"/>
                <w:color w:val="000000"/>
                <w:sz w:val="20"/>
                <w:szCs w:val="20"/>
              </w:rPr>
              <w:t>Accuracy of broadband coverage data limited to two (2) square miles; at smaller geographies, ISPs report coverage along roads even if only one of many residences is served</w:t>
            </w:r>
          </w:p>
        </w:tc>
        <w:tc>
          <w:tcPr>
            <w:tcW w:w="21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c>
          <w:tcPr>
            <w:tcW w:w="137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x</w:t>
            </w:r>
          </w:p>
        </w:tc>
        <w:tc>
          <w:tcPr>
            <w:tcW w:w="1260" w:type="dxa"/>
            <w:tcBorders>
              <w:top w:val="nil"/>
              <w:left w:val="nil"/>
              <w:bottom w:val="single" w:sz="4" w:space="0" w:color="auto"/>
              <w:right w:val="single" w:sz="4" w:space="0" w:color="auto"/>
            </w:tcBorders>
            <w:shd w:val="clear" w:color="auto" w:fill="D2EAF1"/>
            <w:noWrap/>
            <w:vAlign w:val="center"/>
            <w:hideMark/>
          </w:tcPr>
          <w:p w:rsidR="00C10E3B" w:rsidRPr="00C10E3B" w:rsidRDefault="00C10E3B" w:rsidP="00C10E3B">
            <w:pPr>
              <w:spacing w:after="0" w:line="240" w:lineRule="auto"/>
              <w:jc w:val="center"/>
              <w:rPr>
                <w:rFonts w:ascii="Calibri" w:eastAsia="Times New Roman" w:hAnsi="Calibri" w:cs="Times New Roman"/>
                <w:b/>
                <w:bCs/>
                <w:color w:val="000000"/>
                <w:sz w:val="20"/>
                <w:szCs w:val="20"/>
              </w:rPr>
            </w:pPr>
            <w:r w:rsidRPr="00C10E3B">
              <w:rPr>
                <w:rFonts w:ascii="Calibri" w:eastAsia="Times New Roman" w:hAnsi="Calibri" w:cs="Times New Roman"/>
                <w:b/>
                <w:bCs/>
                <w:color w:val="000000"/>
                <w:sz w:val="20"/>
                <w:szCs w:val="20"/>
              </w:rPr>
              <w:t> </w:t>
            </w:r>
          </w:p>
        </w:tc>
      </w:tr>
    </w:tbl>
    <w:p w:rsidR="00A84945" w:rsidRDefault="00B21702">
      <w:pPr>
        <w:rPr>
          <w:rFonts w:cstheme="minorHAnsi"/>
          <w:sz w:val="24"/>
          <w:szCs w:val="24"/>
        </w:rPr>
        <w:sectPr w:rsidR="00A84945" w:rsidSect="00960B5D">
          <w:headerReference w:type="even" r:id="rId55"/>
          <w:headerReference w:type="default" r:id="rId56"/>
          <w:headerReference w:type="first" r:id="rId57"/>
          <w:pgSz w:w="12240" w:h="15840"/>
          <w:pgMar w:top="1440" w:right="1440" w:bottom="1440" w:left="1440" w:header="720" w:footer="720" w:gutter="0"/>
          <w:cols w:space="720"/>
          <w:docGrid w:linePitch="360"/>
        </w:sectPr>
      </w:pPr>
      <w:r>
        <w:rPr>
          <w:rFonts w:cstheme="minorHAnsi"/>
          <w:sz w:val="24"/>
          <w:szCs w:val="24"/>
        </w:rPr>
        <w:t xml:space="preserve"> </w:t>
      </w:r>
    </w:p>
    <w:p w:rsidR="00A84945" w:rsidRPr="00A84945" w:rsidRDefault="00A84945" w:rsidP="00B57C69">
      <w:pPr>
        <w:pStyle w:val="Heading1"/>
      </w:pPr>
      <w:bookmarkStart w:id="37" w:name="_Toc395275949"/>
      <w:r w:rsidRPr="00A84945">
        <w:lastRenderedPageBreak/>
        <w:t>Strategic Focus Areas</w:t>
      </w:r>
      <w:bookmarkEnd w:id="37"/>
    </w:p>
    <w:p w:rsidR="00243C64" w:rsidRDefault="00243C64" w:rsidP="00B21702">
      <w:pPr>
        <w:spacing w:after="0" w:line="240" w:lineRule="auto"/>
        <w:jc w:val="both"/>
        <w:rPr>
          <w:rFonts w:cstheme="minorHAnsi"/>
          <w:b/>
          <w:sz w:val="24"/>
          <w:szCs w:val="24"/>
        </w:rPr>
      </w:pPr>
      <w:r w:rsidRPr="00243C64">
        <w:rPr>
          <w:rFonts w:cstheme="minorHAnsi"/>
          <w:b/>
          <w:sz w:val="24"/>
          <w:szCs w:val="24"/>
        </w:rPr>
        <w:t>SFA 1:</w:t>
      </w:r>
      <w:r w:rsidRPr="00243C64">
        <w:rPr>
          <w:rFonts w:cstheme="minorHAnsi"/>
          <w:b/>
          <w:sz w:val="24"/>
          <w:szCs w:val="24"/>
        </w:rPr>
        <w:tab/>
        <w:t>Incorporate digital technology plan elements into the local comprehensive planning process.</w:t>
      </w:r>
    </w:p>
    <w:p w:rsidR="00A84945" w:rsidRPr="00243C64" w:rsidRDefault="00A84945" w:rsidP="00B21702">
      <w:pPr>
        <w:spacing w:after="0" w:line="240" w:lineRule="auto"/>
        <w:jc w:val="both"/>
        <w:rPr>
          <w:rFonts w:cstheme="minorHAnsi"/>
          <w:b/>
          <w:sz w:val="24"/>
          <w:szCs w:val="24"/>
        </w:rPr>
      </w:pPr>
    </w:p>
    <w:p w:rsidR="00243C64" w:rsidRDefault="00243C64" w:rsidP="00B21702">
      <w:pPr>
        <w:spacing w:after="0" w:line="240" w:lineRule="auto"/>
        <w:jc w:val="both"/>
        <w:rPr>
          <w:rFonts w:cstheme="minorHAnsi"/>
          <w:sz w:val="24"/>
          <w:szCs w:val="24"/>
        </w:rPr>
      </w:pPr>
      <w:r w:rsidRPr="00243C64">
        <w:rPr>
          <w:rFonts w:cstheme="minorHAnsi"/>
          <w:sz w:val="24"/>
          <w:szCs w:val="24"/>
        </w:rPr>
        <w:t>As of March 1, 2014, the local comprehensive planning standards for Georgia counties and cities encourage the development of “optional” plan elements to address specific community needs that extend above and beyond the minimum requirements. Communities in Northeast Georgia are encouraged to opt for the inclusion of digital technology plan elements into local comprehensive plan documents. Such elements may address the following:</w:t>
      </w:r>
    </w:p>
    <w:p w:rsidR="00A84945" w:rsidRPr="00243C64" w:rsidRDefault="00A84945" w:rsidP="00B21702">
      <w:pPr>
        <w:spacing w:after="0" w:line="240" w:lineRule="auto"/>
        <w:jc w:val="both"/>
        <w:rPr>
          <w:rFonts w:cstheme="minorHAnsi"/>
          <w:sz w:val="24"/>
          <w:szCs w:val="24"/>
        </w:rPr>
      </w:pPr>
    </w:p>
    <w:p w:rsidR="00243C64" w:rsidRPr="00243C64" w:rsidRDefault="00243C64" w:rsidP="00B21702">
      <w:pPr>
        <w:pStyle w:val="ListParagraph"/>
        <w:numPr>
          <w:ilvl w:val="0"/>
          <w:numId w:val="11"/>
        </w:numPr>
        <w:spacing w:after="0" w:line="240" w:lineRule="auto"/>
        <w:jc w:val="both"/>
        <w:rPr>
          <w:rFonts w:cstheme="minorHAnsi"/>
          <w:sz w:val="24"/>
          <w:szCs w:val="24"/>
        </w:rPr>
      </w:pPr>
      <w:r w:rsidRPr="00243C64">
        <w:rPr>
          <w:rFonts w:cstheme="minorHAnsi"/>
          <w:sz w:val="24"/>
          <w:szCs w:val="24"/>
        </w:rPr>
        <w:t>Wireline infrastructure coverage</w:t>
      </w:r>
    </w:p>
    <w:p w:rsidR="00243C64" w:rsidRPr="00243C64" w:rsidRDefault="00243C64" w:rsidP="00B21702">
      <w:pPr>
        <w:pStyle w:val="ListParagraph"/>
        <w:numPr>
          <w:ilvl w:val="0"/>
          <w:numId w:val="11"/>
        </w:numPr>
        <w:spacing w:after="0" w:line="240" w:lineRule="auto"/>
        <w:jc w:val="both"/>
        <w:rPr>
          <w:rFonts w:cstheme="minorHAnsi"/>
          <w:sz w:val="24"/>
          <w:szCs w:val="24"/>
        </w:rPr>
      </w:pPr>
      <w:r w:rsidRPr="00243C64">
        <w:rPr>
          <w:rFonts w:cstheme="minorHAnsi"/>
          <w:sz w:val="24"/>
          <w:szCs w:val="24"/>
        </w:rPr>
        <w:t>Mobile broadband infrastructure (cell tower) location and design</w:t>
      </w:r>
    </w:p>
    <w:p w:rsidR="00243C64" w:rsidRPr="00243C64" w:rsidRDefault="00243C64" w:rsidP="00B21702">
      <w:pPr>
        <w:pStyle w:val="ListParagraph"/>
        <w:numPr>
          <w:ilvl w:val="0"/>
          <w:numId w:val="11"/>
        </w:numPr>
        <w:spacing w:after="0" w:line="240" w:lineRule="auto"/>
        <w:jc w:val="both"/>
        <w:rPr>
          <w:rFonts w:cstheme="minorHAnsi"/>
          <w:sz w:val="24"/>
          <w:szCs w:val="24"/>
        </w:rPr>
      </w:pPr>
      <w:r w:rsidRPr="00243C64">
        <w:rPr>
          <w:rFonts w:cstheme="minorHAnsi"/>
          <w:sz w:val="24"/>
          <w:szCs w:val="24"/>
        </w:rPr>
        <w:t>Hardware and software update/replacement schedule</w:t>
      </w:r>
    </w:p>
    <w:p w:rsidR="00243C64" w:rsidRPr="00243C64" w:rsidRDefault="00243C64" w:rsidP="00B21702">
      <w:pPr>
        <w:pStyle w:val="ListParagraph"/>
        <w:numPr>
          <w:ilvl w:val="0"/>
          <w:numId w:val="11"/>
        </w:numPr>
        <w:spacing w:after="0" w:line="240" w:lineRule="auto"/>
        <w:jc w:val="both"/>
        <w:rPr>
          <w:rFonts w:cstheme="minorHAnsi"/>
          <w:sz w:val="24"/>
          <w:szCs w:val="24"/>
        </w:rPr>
      </w:pPr>
      <w:r w:rsidRPr="00243C64">
        <w:rPr>
          <w:rFonts w:cstheme="minorHAnsi"/>
          <w:sz w:val="24"/>
          <w:szCs w:val="24"/>
        </w:rPr>
        <w:t>Staff training/education</w:t>
      </w:r>
    </w:p>
    <w:p w:rsidR="00243C64" w:rsidRPr="00243C64" w:rsidRDefault="00243C64" w:rsidP="00B21702">
      <w:pPr>
        <w:pStyle w:val="ListParagraph"/>
        <w:numPr>
          <w:ilvl w:val="0"/>
          <w:numId w:val="11"/>
        </w:numPr>
        <w:spacing w:after="0" w:line="240" w:lineRule="auto"/>
        <w:jc w:val="both"/>
        <w:rPr>
          <w:rFonts w:cstheme="minorHAnsi"/>
          <w:sz w:val="24"/>
          <w:szCs w:val="24"/>
        </w:rPr>
      </w:pPr>
      <w:r w:rsidRPr="00243C64">
        <w:rPr>
          <w:rFonts w:cstheme="minorHAnsi"/>
          <w:sz w:val="24"/>
          <w:szCs w:val="24"/>
        </w:rPr>
        <w:t>Social media procedures</w:t>
      </w:r>
    </w:p>
    <w:p w:rsidR="00243C64" w:rsidRPr="00243C64" w:rsidRDefault="00243C64" w:rsidP="00B21702">
      <w:pPr>
        <w:pStyle w:val="ListParagraph"/>
        <w:numPr>
          <w:ilvl w:val="0"/>
          <w:numId w:val="11"/>
        </w:numPr>
        <w:spacing w:after="0" w:line="240" w:lineRule="auto"/>
        <w:jc w:val="both"/>
        <w:rPr>
          <w:rFonts w:cstheme="minorHAnsi"/>
          <w:sz w:val="24"/>
          <w:szCs w:val="24"/>
        </w:rPr>
      </w:pPr>
      <w:r w:rsidRPr="00243C64">
        <w:rPr>
          <w:rFonts w:cstheme="minorHAnsi"/>
          <w:sz w:val="24"/>
          <w:szCs w:val="24"/>
        </w:rPr>
        <w:t>Electronic records management</w:t>
      </w:r>
    </w:p>
    <w:p w:rsidR="00243C64" w:rsidRPr="00243C64" w:rsidRDefault="00243C64" w:rsidP="00B21702">
      <w:pPr>
        <w:pStyle w:val="ListParagraph"/>
        <w:numPr>
          <w:ilvl w:val="0"/>
          <w:numId w:val="11"/>
        </w:numPr>
        <w:spacing w:after="0" w:line="240" w:lineRule="auto"/>
        <w:jc w:val="both"/>
        <w:rPr>
          <w:rFonts w:cstheme="minorHAnsi"/>
          <w:sz w:val="24"/>
          <w:szCs w:val="24"/>
        </w:rPr>
      </w:pPr>
      <w:r w:rsidRPr="00243C64">
        <w:rPr>
          <w:rFonts w:cstheme="minorHAnsi"/>
          <w:sz w:val="24"/>
          <w:szCs w:val="24"/>
        </w:rPr>
        <w:t>Website development and maintenance</w:t>
      </w:r>
    </w:p>
    <w:p w:rsidR="00243C64" w:rsidRPr="00243C64" w:rsidRDefault="00243C64" w:rsidP="00B21702">
      <w:pPr>
        <w:pStyle w:val="ListParagraph"/>
        <w:numPr>
          <w:ilvl w:val="0"/>
          <w:numId w:val="11"/>
        </w:numPr>
        <w:spacing w:after="0" w:line="240" w:lineRule="auto"/>
        <w:jc w:val="both"/>
        <w:rPr>
          <w:rFonts w:cstheme="minorHAnsi"/>
          <w:sz w:val="24"/>
          <w:szCs w:val="24"/>
        </w:rPr>
      </w:pPr>
      <w:r w:rsidRPr="00243C64">
        <w:rPr>
          <w:rFonts w:cstheme="minorHAnsi"/>
          <w:sz w:val="24"/>
          <w:szCs w:val="24"/>
        </w:rPr>
        <w:t>Online payment services</w:t>
      </w:r>
    </w:p>
    <w:p w:rsidR="00243C64" w:rsidRDefault="00243C64" w:rsidP="00B21702">
      <w:pPr>
        <w:pStyle w:val="ListParagraph"/>
        <w:numPr>
          <w:ilvl w:val="0"/>
          <w:numId w:val="11"/>
        </w:numPr>
        <w:spacing w:after="0" w:line="240" w:lineRule="auto"/>
        <w:jc w:val="both"/>
        <w:rPr>
          <w:rFonts w:cstheme="minorHAnsi"/>
          <w:sz w:val="24"/>
          <w:szCs w:val="24"/>
        </w:rPr>
      </w:pPr>
      <w:r w:rsidRPr="00243C64">
        <w:rPr>
          <w:rFonts w:cstheme="minorHAnsi"/>
          <w:sz w:val="24"/>
          <w:szCs w:val="24"/>
        </w:rPr>
        <w:t xml:space="preserve">Policies and ordinances </w:t>
      </w:r>
    </w:p>
    <w:p w:rsidR="00A84945" w:rsidRPr="00243C64" w:rsidRDefault="00A84945" w:rsidP="00B21702">
      <w:pPr>
        <w:pStyle w:val="ListParagraph"/>
        <w:numPr>
          <w:ilvl w:val="0"/>
          <w:numId w:val="11"/>
        </w:numPr>
        <w:spacing w:after="0" w:line="240" w:lineRule="auto"/>
        <w:jc w:val="both"/>
        <w:rPr>
          <w:rFonts w:cstheme="minorHAnsi"/>
          <w:sz w:val="24"/>
          <w:szCs w:val="24"/>
        </w:rPr>
      </w:pPr>
    </w:p>
    <w:p w:rsidR="00243C64" w:rsidRPr="00243C64" w:rsidRDefault="00243C64" w:rsidP="00B21702">
      <w:pPr>
        <w:spacing w:after="0" w:line="240" w:lineRule="auto"/>
        <w:jc w:val="both"/>
        <w:rPr>
          <w:rFonts w:cstheme="minorHAnsi"/>
          <w:sz w:val="24"/>
          <w:szCs w:val="24"/>
        </w:rPr>
      </w:pPr>
      <w:r w:rsidRPr="00243C64">
        <w:rPr>
          <w:rFonts w:cstheme="minorHAnsi"/>
          <w:sz w:val="24"/>
          <w:szCs w:val="24"/>
        </w:rPr>
        <w:t>Upon completion of the digital technology plan element, a local government may identify broadband infrastructure and facility needs within the capital improvements element (CIE).</w:t>
      </w:r>
    </w:p>
    <w:p w:rsidR="00243C64" w:rsidRDefault="00243C64" w:rsidP="00B21702">
      <w:pPr>
        <w:spacing w:after="0" w:line="240" w:lineRule="auto"/>
        <w:jc w:val="both"/>
        <w:rPr>
          <w:rFonts w:cstheme="minorHAnsi"/>
          <w:sz w:val="24"/>
          <w:szCs w:val="24"/>
        </w:rPr>
      </w:pPr>
      <w:r w:rsidRPr="00243C64">
        <w:rPr>
          <w:rFonts w:cstheme="minorHAnsi"/>
          <w:sz w:val="24"/>
          <w:szCs w:val="24"/>
        </w:rPr>
        <w:t>Steps:</w:t>
      </w:r>
    </w:p>
    <w:p w:rsidR="00A84945" w:rsidRPr="00243C64" w:rsidRDefault="00A84945" w:rsidP="00B21702">
      <w:pPr>
        <w:spacing w:after="0" w:line="240" w:lineRule="auto"/>
        <w:jc w:val="both"/>
        <w:rPr>
          <w:rFonts w:cstheme="minorHAnsi"/>
          <w:sz w:val="24"/>
          <w:szCs w:val="24"/>
        </w:rPr>
      </w:pPr>
    </w:p>
    <w:p w:rsidR="00243C64" w:rsidRPr="00243C64" w:rsidRDefault="00243C64" w:rsidP="00B21702">
      <w:pPr>
        <w:pStyle w:val="ListParagraph"/>
        <w:numPr>
          <w:ilvl w:val="0"/>
          <w:numId w:val="12"/>
        </w:numPr>
        <w:spacing w:after="0" w:line="240" w:lineRule="auto"/>
        <w:jc w:val="both"/>
        <w:rPr>
          <w:rFonts w:cstheme="minorHAnsi"/>
          <w:sz w:val="24"/>
          <w:szCs w:val="24"/>
        </w:rPr>
      </w:pPr>
      <w:r w:rsidRPr="00243C64">
        <w:rPr>
          <w:rFonts w:cstheme="minorHAnsi"/>
          <w:sz w:val="24"/>
          <w:szCs w:val="24"/>
        </w:rPr>
        <w:t xml:space="preserve">Determine comprehensive plan deadline at </w:t>
      </w:r>
      <w:hyperlink r:id="rId58" w:history="1">
        <w:r w:rsidRPr="00243C64">
          <w:rPr>
            <w:rStyle w:val="Hyperlink"/>
            <w:rFonts w:cstheme="minorHAnsi"/>
            <w:sz w:val="24"/>
            <w:szCs w:val="24"/>
          </w:rPr>
          <w:t>www.georgiaplanning.com</w:t>
        </w:r>
      </w:hyperlink>
      <w:r w:rsidRPr="00243C64">
        <w:rPr>
          <w:rFonts w:cstheme="minorHAnsi"/>
          <w:sz w:val="24"/>
          <w:szCs w:val="24"/>
        </w:rPr>
        <w:t xml:space="preserve">. </w:t>
      </w:r>
    </w:p>
    <w:p w:rsidR="00243C64" w:rsidRPr="00243C64" w:rsidRDefault="00243C64" w:rsidP="00B21702">
      <w:pPr>
        <w:pStyle w:val="ListParagraph"/>
        <w:numPr>
          <w:ilvl w:val="0"/>
          <w:numId w:val="12"/>
        </w:numPr>
        <w:spacing w:after="0" w:line="240" w:lineRule="auto"/>
        <w:jc w:val="both"/>
        <w:rPr>
          <w:rFonts w:cstheme="minorHAnsi"/>
          <w:sz w:val="24"/>
          <w:szCs w:val="24"/>
        </w:rPr>
      </w:pPr>
      <w:r w:rsidRPr="00243C64">
        <w:rPr>
          <w:rFonts w:cstheme="minorHAnsi"/>
          <w:sz w:val="24"/>
          <w:szCs w:val="24"/>
        </w:rPr>
        <w:t>Select planning process facilitator.</w:t>
      </w:r>
      <w:r w:rsidRPr="00243C64">
        <w:rPr>
          <w:rStyle w:val="FootnoteReference"/>
          <w:rFonts w:cstheme="minorHAnsi"/>
          <w:sz w:val="24"/>
          <w:szCs w:val="24"/>
        </w:rPr>
        <w:footnoteReference w:id="12"/>
      </w:r>
    </w:p>
    <w:p w:rsidR="00243C64" w:rsidRPr="00243C64" w:rsidRDefault="00243C64" w:rsidP="00B21702">
      <w:pPr>
        <w:pStyle w:val="ListParagraph"/>
        <w:numPr>
          <w:ilvl w:val="0"/>
          <w:numId w:val="12"/>
        </w:numPr>
        <w:spacing w:after="0" w:line="240" w:lineRule="auto"/>
        <w:jc w:val="both"/>
        <w:rPr>
          <w:rFonts w:cstheme="minorHAnsi"/>
          <w:sz w:val="24"/>
          <w:szCs w:val="24"/>
        </w:rPr>
      </w:pPr>
      <w:r w:rsidRPr="00243C64">
        <w:rPr>
          <w:rFonts w:cstheme="minorHAnsi"/>
          <w:sz w:val="24"/>
          <w:szCs w:val="24"/>
        </w:rPr>
        <w:t xml:space="preserve">Identify </w:t>
      </w:r>
      <w:r w:rsidRPr="00243C64">
        <w:rPr>
          <w:rFonts w:cstheme="minorHAnsi"/>
          <w:i/>
          <w:sz w:val="24"/>
          <w:szCs w:val="24"/>
        </w:rPr>
        <w:t>Needs and Opportunities</w:t>
      </w:r>
      <w:r w:rsidRPr="00243C64">
        <w:rPr>
          <w:rFonts w:cstheme="minorHAnsi"/>
          <w:sz w:val="24"/>
          <w:szCs w:val="24"/>
        </w:rPr>
        <w:t xml:space="preserve"> specific to digital technology.</w:t>
      </w:r>
    </w:p>
    <w:p w:rsidR="00243C64" w:rsidRPr="00243C64" w:rsidRDefault="00243C64" w:rsidP="00B21702">
      <w:pPr>
        <w:pStyle w:val="ListParagraph"/>
        <w:numPr>
          <w:ilvl w:val="0"/>
          <w:numId w:val="12"/>
        </w:numPr>
        <w:spacing w:after="0" w:line="240" w:lineRule="auto"/>
        <w:jc w:val="both"/>
        <w:rPr>
          <w:rFonts w:cstheme="minorHAnsi"/>
          <w:sz w:val="24"/>
          <w:szCs w:val="24"/>
        </w:rPr>
      </w:pPr>
      <w:r w:rsidRPr="00243C64">
        <w:rPr>
          <w:rFonts w:cstheme="minorHAnsi"/>
          <w:sz w:val="24"/>
          <w:szCs w:val="24"/>
        </w:rPr>
        <w:t xml:space="preserve">Incorporate implementation strategies for addressing digital technology </w:t>
      </w:r>
      <w:r w:rsidRPr="00243C64">
        <w:rPr>
          <w:rFonts w:cstheme="minorHAnsi"/>
          <w:i/>
          <w:sz w:val="24"/>
          <w:szCs w:val="24"/>
        </w:rPr>
        <w:t xml:space="preserve">Needs and Opportunities </w:t>
      </w:r>
      <w:r w:rsidRPr="00243C64">
        <w:rPr>
          <w:rFonts w:cstheme="minorHAnsi"/>
          <w:sz w:val="24"/>
          <w:szCs w:val="24"/>
        </w:rPr>
        <w:t xml:space="preserve">into the </w:t>
      </w:r>
      <w:r w:rsidRPr="00243C64">
        <w:rPr>
          <w:rFonts w:cstheme="minorHAnsi"/>
          <w:i/>
          <w:sz w:val="24"/>
          <w:szCs w:val="24"/>
        </w:rPr>
        <w:t>Community Work Program</w:t>
      </w:r>
      <w:r w:rsidRPr="00243C64">
        <w:rPr>
          <w:rFonts w:cstheme="minorHAnsi"/>
          <w:sz w:val="24"/>
          <w:szCs w:val="24"/>
        </w:rPr>
        <w:t>.</w:t>
      </w:r>
    </w:p>
    <w:p w:rsidR="00243C64" w:rsidRDefault="00243C64" w:rsidP="00B21702">
      <w:pPr>
        <w:pStyle w:val="ListParagraph"/>
        <w:numPr>
          <w:ilvl w:val="0"/>
          <w:numId w:val="12"/>
        </w:numPr>
        <w:spacing w:after="0" w:line="240" w:lineRule="auto"/>
        <w:jc w:val="both"/>
        <w:rPr>
          <w:rFonts w:cstheme="minorHAnsi"/>
          <w:sz w:val="24"/>
          <w:szCs w:val="24"/>
        </w:rPr>
      </w:pPr>
      <w:r w:rsidRPr="00243C64">
        <w:rPr>
          <w:rFonts w:cstheme="minorHAnsi"/>
          <w:sz w:val="24"/>
          <w:szCs w:val="24"/>
        </w:rPr>
        <w:t>Adopt comprehensive plan.</w:t>
      </w:r>
    </w:p>
    <w:p w:rsidR="00A84945" w:rsidRPr="00243C64" w:rsidRDefault="00A84945" w:rsidP="00A84945">
      <w:pPr>
        <w:pStyle w:val="ListParagraph"/>
        <w:spacing w:after="0" w:line="240" w:lineRule="auto"/>
        <w:jc w:val="both"/>
        <w:rPr>
          <w:rFonts w:cstheme="minorHAnsi"/>
          <w:sz w:val="24"/>
          <w:szCs w:val="24"/>
        </w:rPr>
      </w:pPr>
    </w:p>
    <w:p w:rsidR="00243C64" w:rsidRDefault="00243C64" w:rsidP="00B21702">
      <w:pPr>
        <w:spacing w:after="0" w:line="240" w:lineRule="auto"/>
        <w:jc w:val="both"/>
        <w:rPr>
          <w:rFonts w:cstheme="minorHAnsi"/>
          <w:sz w:val="24"/>
          <w:szCs w:val="24"/>
        </w:rPr>
      </w:pPr>
      <w:r w:rsidRPr="00243C64">
        <w:rPr>
          <w:rFonts w:cstheme="minorHAnsi"/>
          <w:sz w:val="24"/>
          <w:szCs w:val="24"/>
        </w:rPr>
        <w:t xml:space="preserve">Technical Assistance Resources: </w:t>
      </w:r>
    </w:p>
    <w:p w:rsidR="00A84945" w:rsidRPr="00243C64" w:rsidRDefault="00A84945" w:rsidP="00B21702">
      <w:pPr>
        <w:spacing w:after="0" w:line="240" w:lineRule="auto"/>
        <w:jc w:val="both"/>
        <w:rPr>
          <w:rFonts w:cstheme="minorHAnsi"/>
          <w:sz w:val="24"/>
          <w:szCs w:val="24"/>
        </w:rPr>
      </w:pPr>
    </w:p>
    <w:p w:rsidR="00243C64" w:rsidRPr="00243C64" w:rsidRDefault="00243C64" w:rsidP="00B21702">
      <w:pPr>
        <w:pStyle w:val="ListParagraph"/>
        <w:numPr>
          <w:ilvl w:val="0"/>
          <w:numId w:val="13"/>
        </w:numPr>
        <w:spacing w:after="0" w:line="240" w:lineRule="auto"/>
        <w:jc w:val="both"/>
        <w:rPr>
          <w:rFonts w:cstheme="minorHAnsi"/>
          <w:sz w:val="24"/>
          <w:szCs w:val="24"/>
        </w:rPr>
      </w:pPr>
      <w:r w:rsidRPr="00243C64">
        <w:rPr>
          <w:rFonts w:cstheme="minorHAnsi"/>
          <w:sz w:val="24"/>
          <w:szCs w:val="24"/>
        </w:rPr>
        <w:t>Georgia Department of Community Affairs (DCA)</w:t>
      </w:r>
    </w:p>
    <w:p w:rsidR="00243C64" w:rsidRPr="00243C64" w:rsidRDefault="00243C64" w:rsidP="00B21702">
      <w:pPr>
        <w:pStyle w:val="ListParagraph"/>
        <w:numPr>
          <w:ilvl w:val="0"/>
          <w:numId w:val="13"/>
        </w:numPr>
        <w:spacing w:after="0" w:line="240" w:lineRule="auto"/>
        <w:jc w:val="both"/>
        <w:rPr>
          <w:rFonts w:cstheme="minorHAnsi"/>
          <w:sz w:val="24"/>
          <w:szCs w:val="24"/>
        </w:rPr>
      </w:pPr>
      <w:r w:rsidRPr="00243C64">
        <w:rPr>
          <w:rFonts w:cstheme="minorHAnsi"/>
          <w:sz w:val="24"/>
          <w:szCs w:val="24"/>
        </w:rPr>
        <w:t>NEGRC</w:t>
      </w:r>
    </w:p>
    <w:p w:rsidR="00243C64" w:rsidRPr="00243C64" w:rsidRDefault="00243C64" w:rsidP="00B21702">
      <w:pPr>
        <w:pStyle w:val="ListParagraph"/>
        <w:numPr>
          <w:ilvl w:val="0"/>
          <w:numId w:val="13"/>
        </w:numPr>
        <w:spacing w:after="0" w:line="240" w:lineRule="auto"/>
        <w:jc w:val="both"/>
        <w:rPr>
          <w:rFonts w:cstheme="minorHAnsi"/>
          <w:sz w:val="24"/>
          <w:szCs w:val="24"/>
        </w:rPr>
      </w:pPr>
      <w:r w:rsidRPr="00243C64">
        <w:rPr>
          <w:rFonts w:cstheme="minorHAnsi"/>
          <w:sz w:val="24"/>
          <w:szCs w:val="24"/>
        </w:rPr>
        <w:t>University of Georgia Carl Vinson Institute</w:t>
      </w:r>
    </w:p>
    <w:p w:rsidR="00243C64" w:rsidRPr="00243C64" w:rsidRDefault="00243C64" w:rsidP="00B21702">
      <w:pPr>
        <w:pStyle w:val="ListParagraph"/>
        <w:numPr>
          <w:ilvl w:val="0"/>
          <w:numId w:val="13"/>
        </w:numPr>
        <w:spacing w:after="0" w:line="240" w:lineRule="auto"/>
        <w:jc w:val="both"/>
        <w:rPr>
          <w:rFonts w:cstheme="minorHAnsi"/>
          <w:sz w:val="24"/>
          <w:szCs w:val="24"/>
        </w:rPr>
      </w:pPr>
      <w:r w:rsidRPr="00243C64">
        <w:rPr>
          <w:rFonts w:cstheme="minorHAnsi"/>
          <w:sz w:val="24"/>
          <w:szCs w:val="24"/>
        </w:rPr>
        <w:t>Utility managers</w:t>
      </w:r>
    </w:p>
    <w:p w:rsidR="00243C64" w:rsidRPr="00243C64" w:rsidRDefault="00243C64" w:rsidP="00B21702">
      <w:pPr>
        <w:pStyle w:val="ListParagraph"/>
        <w:numPr>
          <w:ilvl w:val="0"/>
          <w:numId w:val="13"/>
        </w:numPr>
        <w:spacing w:after="0" w:line="240" w:lineRule="auto"/>
        <w:jc w:val="both"/>
        <w:rPr>
          <w:rFonts w:cstheme="minorHAnsi"/>
          <w:sz w:val="24"/>
          <w:szCs w:val="24"/>
        </w:rPr>
      </w:pPr>
      <w:r w:rsidRPr="00243C64">
        <w:rPr>
          <w:rFonts w:cstheme="minorHAnsi"/>
          <w:sz w:val="24"/>
          <w:szCs w:val="24"/>
        </w:rPr>
        <w:t>Informational technology (IT) staff</w:t>
      </w:r>
    </w:p>
    <w:p w:rsidR="00243C64" w:rsidRPr="00243C64" w:rsidRDefault="00243C64" w:rsidP="00B21702">
      <w:pPr>
        <w:pStyle w:val="ListParagraph"/>
        <w:numPr>
          <w:ilvl w:val="0"/>
          <w:numId w:val="13"/>
        </w:numPr>
        <w:spacing w:after="0" w:line="240" w:lineRule="auto"/>
        <w:jc w:val="both"/>
        <w:rPr>
          <w:rFonts w:cstheme="minorHAnsi"/>
          <w:sz w:val="24"/>
          <w:szCs w:val="24"/>
        </w:rPr>
      </w:pPr>
      <w:r w:rsidRPr="00243C64">
        <w:rPr>
          <w:rFonts w:cstheme="minorHAnsi"/>
          <w:sz w:val="24"/>
          <w:szCs w:val="24"/>
        </w:rPr>
        <w:lastRenderedPageBreak/>
        <w:t>Local web developers</w:t>
      </w:r>
    </w:p>
    <w:p w:rsidR="00A84945" w:rsidRDefault="00A84945" w:rsidP="00B21702">
      <w:pPr>
        <w:spacing w:after="0" w:line="240" w:lineRule="auto"/>
        <w:jc w:val="both"/>
        <w:rPr>
          <w:rFonts w:cstheme="minorHAnsi"/>
          <w:b/>
          <w:sz w:val="24"/>
          <w:szCs w:val="24"/>
        </w:rPr>
      </w:pPr>
    </w:p>
    <w:p w:rsidR="00243C64" w:rsidRPr="00243C64" w:rsidRDefault="00243C64" w:rsidP="00B21702">
      <w:pPr>
        <w:spacing w:after="0" w:line="240" w:lineRule="auto"/>
        <w:jc w:val="both"/>
        <w:rPr>
          <w:rFonts w:cstheme="minorHAnsi"/>
          <w:b/>
          <w:sz w:val="24"/>
          <w:szCs w:val="24"/>
        </w:rPr>
      </w:pPr>
      <w:r w:rsidRPr="00243C64">
        <w:rPr>
          <w:rFonts w:cstheme="minorHAnsi"/>
          <w:b/>
          <w:sz w:val="24"/>
          <w:szCs w:val="24"/>
        </w:rPr>
        <w:t>SFA 2:</w:t>
      </w:r>
      <w:r w:rsidRPr="00243C64">
        <w:rPr>
          <w:rFonts w:cstheme="minorHAnsi"/>
          <w:b/>
          <w:sz w:val="24"/>
          <w:szCs w:val="24"/>
        </w:rPr>
        <w:tab/>
        <w:t>Develop “dig once” policies for local adoption.</w:t>
      </w:r>
    </w:p>
    <w:p w:rsidR="00243C64" w:rsidRPr="00243C64" w:rsidRDefault="00243C64" w:rsidP="00B21702">
      <w:pPr>
        <w:spacing w:after="0" w:line="240" w:lineRule="auto"/>
        <w:jc w:val="both"/>
        <w:rPr>
          <w:rFonts w:cstheme="minorHAnsi"/>
          <w:sz w:val="24"/>
          <w:szCs w:val="24"/>
        </w:rPr>
      </w:pPr>
      <w:r w:rsidRPr="00243C64">
        <w:rPr>
          <w:rFonts w:cstheme="minorHAnsi"/>
          <w:sz w:val="24"/>
          <w:szCs w:val="24"/>
        </w:rPr>
        <w:t>"Dig once" policies or ordinances refer to requirements designed to reduce the number and scale of repeated excavations for the installation and maintenance of broadband utilities in public right-of-way (ROW).</w:t>
      </w:r>
      <w:r w:rsidRPr="00243C64">
        <w:rPr>
          <w:rStyle w:val="FootnoteReference"/>
          <w:rFonts w:cstheme="minorHAnsi"/>
          <w:sz w:val="24"/>
          <w:szCs w:val="24"/>
        </w:rPr>
        <w:footnoteReference w:id="13"/>
      </w:r>
      <w:r w:rsidRPr="00243C64">
        <w:rPr>
          <w:rFonts w:cstheme="minorHAnsi"/>
          <w:sz w:val="24"/>
          <w:szCs w:val="24"/>
        </w:rPr>
        <w:t xml:space="preserve">  </w:t>
      </w:r>
    </w:p>
    <w:p w:rsidR="00A84945" w:rsidRDefault="00A84945" w:rsidP="00B21702">
      <w:pPr>
        <w:spacing w:after="0" w:line="240" w:lineRule="auto"/>
        <w:jc w:val="both"/>
        <w:rPr>
          <w:rFonts w:cstheme="minorHAnsi"/>
          <w:sz w:val="24"/>
          <w:szCs w:val="24"/>
        </w:rPr>
      </w:pPr>
    </w:p>
    <w:p w:rsidR="00243C64" w:rsidRPr="00243C64" w:rsidRDefault="00243C64" w:rsidP="00B21702">
      <w:pPr>
        <w:spacing w:after="0" w:line="240" w:lineRule="auto"/>
        <w:jc w:val="both"/>
        <w:rPr>
          <w:rFonts w:cstheme="minorHAnsi"/>
          <w:sz w:val="24"/>
          <w:szCs w:val="24"/>
        </w:rPr>
      </w:pPr>
      <w:r w:rsidRPr="00243C64">
        <w:rPr>
          <w:rFonts w:cstheme="minorHAnsi"/>
          <w:sz w:val="24"/>
          <w:szCs w:val="24"/>
        </w:rPr>
        <w:t>The State of Georgia does not currently operate under a “dig once” policy for state highway construction projects. However, counties and cities in Northeast Georgia are encouraged to adopt “dig once” policies for local road and utility ROWs. Such local policies or ordinances would facilitate coordination between government departments (e.g. public works, utilities, planning, and transportation) and wireline broadband providers during the ROW project development stage, and should reference and comply with utility guides published by the American Association of State Highway and Transportation Officials (AASHTO).</w:t>
      </w:r>
    </w:p>
    <w:p w:rsidR="00A84945" w:rsidRDefault="00A84945" w:rsidP="00B21702">
      <w:pPr>
        <w:spacing w:after="0" w:line="240" w:lineRule="auto"/>
        <w:jc w:val="both"/>
        <w:rPr>
          <w:rFonts w:cstheme="minorHAnsi"/>
          <w:b/>
          <w:sz w:val="24"/>
          <w:szCs w:val="24"/>
        </w:rPr>
      </w:pPr>
    </w:p>
    <w:p w:rsidR="00243C64" w:rsidRPr="00243C64" w:rsidRDefault="00243C64" w:rsidP="00B21702">
      <w:pPr>
        <w:spacing w:after="0" w:line="240" w:lineRule="auto"/>
        <w:jc w:val="both"/>
        <w:rPr>
          <w:rFonts w:cstheme="minorHAnsi"/>
          <w:sz w:val="24"/>
          <w:szCs w:val="24"/>
        </w:rPr>
      </w:pPr>
      <w:r w:rsidRPr="00243C64">
        <w:rPr>
          <w:rFonts w:cstheme="minorHAnsi"/>
          <w:b/>
          <w:sz w:val="24"/>
          <w:szCs w:val="24"/>
        </w:rPr>
        <w:t>SFA 3:</w:t>
      </w:r>
      <w:r w:rsidRPr="00243C64">
        <w:rPr>
          <w:rFonts w:cstheme="minorHAnsi"/>
          <w:b/>
          <w:sz w:val="24"/>
          <w:szCs w:val="24"/>
        </w:rPr>
        <w:tab/>
        <w:t>Develop regional coordination and sharing agreements for technologies and infrastructure.</w:t>
      </w:r>
    </w:p>
    <w:p w:rsidR="00A84945" w:rsidRDefault="00A84945" w:rsidP="00B21702">
      <w:pPr>
        <w:spacing w:after="0" w:line="240" w:lineRule="auto"/>
        <w:jc w:val="both"/>
        <w:rPr>
          <w:rFonts w:cstheme="minorHAnsi"/>
          <w:sz w:val="24"/>
          <w:szCs w:val="24"/>
        </w:rPr>
      </w:pPr>
    </w:p>
    <w:p w:rsidR="00243C64" w:rsidRDefault="00243C64" w:rsidP="00B21702">
      <w:pPr>
        <w:spacing w:after="0" w:line="240" w:lineRule="auto"/>
        <w:jc w:val="both"/>
        <w:rPr>
          <w:rFonts w:cstheme="minorHAnsi"/>
          <w:sz w:val="24"/>
          <w:szCs w:val="24"/>
        </w:rPr>
      </w:pPr>
      <w:r w:rsidRPr="00243C64">
        <w:rPr>
          <w:rFonts w:cstheme="minorHAnsi"/>
          <w:sz w:val="24"/>
          <w:szCs w:val="24"/>
        </w:rPr>
        <w:t>Examples may include:</w:t>
      </w:r>
    </w:p>
    <w:p w:rsidR="00A84945" w:rsidRPr="00243C64" w:rsidRDefault="00A84945" w:rsidP="00B21702">
      <w:pPr>
        <w:spacing w:after="0" w:line="240" w:lineRule="auto"/>
        <w:jc w:val="both"/>
        <w:rPr>
          <w:rFonts w:cstheme="minorHAnsi"/>
          <w:sz w:val="24"/>
          <w:szCs w:val="24"/>
        </w:rPr>
      </w:pPr>
    </w:p>
    <w:p w:rsidR="00243C64" w:rsidRPr="00243C64" w:rsidRDefault="00243C64" w:rsidP="00B21702">
      <w:pPr>
        <w:pStyle w:val="ListParagraph"/>
        <w:numPr>
          <w:ilvl w:val="1"/>
          <w:numId w:val="10"/>
        </w:numPr>
        <w:spacing w:after="0" w:line="240" w:lineRule="auto"/>
        <w:jc w:val="both"/>
        <w:rPr>
          <w:rFonts w:cstheme="minorHAnsi"/>
          <w:sz w:val="24"/>
          <w:szCs w:val="24"/>
        </w:rPr>
      </w:pPr>
      <w:r w:rsidRPr="00243C64">
        <w:rPr>
          <w:rFonts w:cstheme="minorHAnsi"/>
          <w:sz w:val="24"/>
          <w:szCs w:val="24"/>
        </w:rPr>
        <w:t>Software product subscriptions</w:t>
      </w:r>
    </w:p>
    <w:p w:rsidR="00243C64" w:rsidRPr="00243C64" w:rsidRDefault="00243C64" w:rsidP="00B21702">
      <w:pPr>
        <w:pStyle w:val="ListParagraph"/>
        <w:numPr>
          <w:ilvl w:val="1"/>
          <w:numId w:val="10"/>
        </w:numPr>
        <w:spacing w:after="0" w:line="240" w:lineRule="auto"/>
        <w:jc w:val="both"/>
        <w:rPr>
          <w:rFonts w:cstheme="minorHAnsi"/>
          <w:sz w:val="24"/>
          <w:szCs w:val="24"/>
        </w:rPr>
      </w:pPr>
      <w:r w:rsidRPr="00243C64">
        <w:rPr>
          <w:rFonts w:cstheme="minorHAnsi"/>
          <w:sz w:val="24"/>
          <w:szCs w:val="24"/>
        </w:rPr>
        <w:t>Data and geographic information systems</w:t>
      </w:r>
    </w:p>
    <w:p w:rsidR="00243C64" w:rsidRPr="00243C64" w:rsidRDefault="00243C64" w:rsidP="00B21702">
      <w:pPr>
        <w:pStyle w:val="ListParagraph"/>
        <w:numPr>
          <w:ilvl w:val="1"/>
          <w:numId w:val="10"/>
        </w:numPr>
        <w:spacing w:after="0" w:line="240" w:lineRule="auto"/>
        <w:jc w:val="both"/>
        <w:rPr>
          <w:rFonts w:cstheme="minorHAnsi"/>
          <w:sz w:val="24"/>
          <w:szCs w:val="24"/>
        </w:rPr>
      </w:pPr>
      <w:r w:rsidRPr="00243C64">
        <w:rPr>
          <w:rFonts w:cstheme="minorHAnsi"/>
          <w:sz w:val="24"/>
          <w:szCs w:val="24"/>
        </w:rPr>
        <w:t>Wireline infrastructure development</w:t>
      </w:r>
    </w:p>
    <w:p w:rsidR="00A84945" w:rsidRDefault="00A84945" w:rsidP="00B21702">
      <w:pPr>
        <w:spacing w:after="0" w:line="240" w:lineRule="auto"/>
        <w:jc w:val="both"/>
        <w:rPr>
          <w:rFonts w:cstheme="minorHAnsi"/>
          <w:sz w:val="24"/>
          <w:szCs w:val="24"/>
        </w:rPr>
      </w:pPr>
    </w:p>
    <w:p w:rsidR="00243C64" w:rsidRPr="00243C64" w:rsidRDefault="00243C64" w:rsidP="00B21702">
      <w:pPr>
        <w:spacing w:after="0" w:line="240" w:lineRule="auto"/>
        <w:jc w:val="both"/>
        <w:rPr>
          <w:rFonts w:cstheme="minorHAnsi"/>
          <w:sz w:val="24"/>
          <w:szCs w:val="24"/>
        </w:rPr>
      </w:pPr>
      <w:r w:rsidRPr="00243C64">
        <w:rPr>
          <w:rFonts w:cstheme="minorHAnsi"/>
          <w:sz w:val="24"/>
          <w:szCs w:val="24"/>
        </w:rPr>
        <w:t>Coordination and sharing between counties and cities in Northeast Georgia may result in significant cost savings to local governments. Additionally, projects that are regional in nature and involve multiple stakeholders are often viewed as attractive to both public and private funding sources. Such agreements may be developed through multi-county authorities and/or facilitated by NEGRC.</w:t>
      </w:r>
    </w:p>
    <w:p w:rsidR="00243C64" w:rsidRPr="00243C64" w:rsidRDefault="00243C64" w:rsidP="00B21702">
      <w:pPr>
        <w:spacing w:after="0" w:line="240" w:lineRule="auto"/>
        <w:jc w:val="both"/>
        <w:rPr>
          <w:rFonts w:cstheme="minorHAnsi"/>
          <w:sz w:val="24"/>
          <w:szCs w:val="24"/>
        </w:rPr>
      </w:pPr>
      <w:r w:rsidRPr="00243C64">
        <w:rPr>
          <w:rFonts w:cstheme="minorHAnsi"/>
          <w:sz w:val="24"/>
          <w:szCs w:val="24"/>
        </w:rPr>
        <w:t>Technical Assistance Resources:</w:t>
      </w:r>
    </w:p>
    <w:p w:rsidR="00243C64" w:rsidRPr="00243C64" w:rsidRDefault="00243C64" w:rsidP="00B21702">
      <w:pPr>
        <w:pStyle w:val="ListParagraph"/>
        <w:numPr>
          <w:ilvl w:val="0"/>
          <w:numId w:val="14"/>
        </w:numPr>
        <w:spacing w:after="0" w:line="240" w:lineRule="auto"/>
        <w:jc w:val="both"/>
        <w:rPr>
          <w:rFonts w:cstheme="minorHAnsi"/>
          <w:sz w:val="24"/>
          <w:szCs w:val="24"/>
        </w:rPr>
      </w:pPr>
      <w:r w:rsidRPr="00243C64">
        <w:rPr>
          <w:rFonts w:cstheme="minorHAnsi"/>
          <w:sz w:val="24"/>
          <w:szCs w:val="24"/>
        </w:rPr>
        <w:t>Multi-county authorities</w:t>
      </w:r>
    </w:p>
    <w:p w:rsidR="00243C64" w:rsidRPr="00243C64" w:rsidRDefault="00243C64" w:rsidP="00B21702">
      <w:pPr>
        <w:pStyle w:val="ListParagraph"/>
        <w:numPr>
          <w:ilvl w:val="0"/>
          <w:numId w:val="14"/>
        </w:numPr>
        <w:spacing w:after="0" w:line="240" w:lineRule="auto"/>
        <w:jc w:val="both"/>
        <w:rPr>
          <w:rFonts w:cstheme="minorHAnsi"/>
          <w:sz w:val="24"/>
          <w:szCs w:val="24"/>
        </w:rPr>
      </w:pPr>
      <w:r w:rsidRPr="00243C64">
        <w:rPr>
          <w:rFonts w:cstheme="minorHAnsi"/>
          <w:sz w:val="24"/>
          <w:szCs w:val="24"/>
        </w:rPr>
        <w:t>NEGRC</w:t>
      </w:r>
    </w:p>
    <w:p w:rsidR="00243C64" w:rsidRDefault="00243C64" w:rsidP="00B21702">
      <w:pPr>
        <w:pStyle w:val="ListParagraph"/>
        <w:numPr>
          <w:ilvl w:val="0"/>
          <w:numId w:val="14"/>
        </w:numPr>
        <w:spacing w:after="0" w:line="240" w:lineRule="auto"/>
        <w:jc w:val="both"/>
        <w:rPr>
          <w:rFonts w:cstheme="minorHAnsi"/>
          <w:sz w:val="24"/>
          <w:szCs w:val="24"/>
        </w:rPr>
      </w:pPr>
      <w:r w:rsidRPr="00243C64">
        <w:rPr>
          <w:rFonts w:cstheme="minorHAnsi"/>
          <w:sz w:val="24"/>
          <w:szCs w:val="24"/>
        </w:rPr>
        <w:t>Utility managers</w:t>
      </w:r>
    </w:p>
    <w:p w:rsidR="00A84945" w:rsidRPr="00243C64" w:rsidRDefault="00A84945" w:rsidP="00B21702">
      <w:pPr>
        <w:pStyle w:val="ListParagraph"/>
        <w:numPr>
          <w:ilvl w:val="0"/>
          <w:numId w:val="14"/>
        </w:numPr>
        <w:spacing w:after="0" w:line="240" w:lineRule="auto"/>
        <w:jc w:val="both"/>
        <w:rPr>
          <w:rFonts w:cstheme="minorHAnsi"/>
          <w:sz w:val="24"/>
          <w:szCs w:val="24"/>
        </w:rPr>
      </w:pPr>
    </w:p>
    <w:p w:rsidR="00243C64" w:rsidRPr="00243C64" w:rsidRDefault="00243C64" w:rsidP="00B21702">
      <w:pPr>
        <w:spacing w:after="0" w:line="240" w:lineRule="auto"/>
        <w:jc w:val="both"/>
        <w:rPr>
          <w:rFonts w:cstheme="minorHAnsi"/>
          <w:b/>
          <w:sz w:val="24"/>
          <w:szCs w:val="24"/>
        </w:rPr>
      </w:pPr>
      <w:r w:rsidRPr="00243C64">
        <w:rPr>
          <w:rFonts w:cstheme="minorHAnsi"/>
          <w:b/>
          <w:sz w:val="24"/>
          <w:szCs w:val="24"/>
        </w:rPr>
        <w:t>SFA 4:</w:t>
      </w:r>
      <w:r w:rsidRPr="00243C64">
        <w:rPr>
          <w:rFonts w:cstheme="minorHAnsi"/>
          <w:b/>
          <w:sz w:val="24"/>
          <w:szCs w:val="24"/>
        </w:rPr>
        <w:tab/>
        <w:t>Identify specific training and education needs at an organization/agency level, and develop programs to address those needs.</w:t>
      </w:r>
    </w:p>
    <w:p w:rsidR="00243C64" w:rsidRDefault="00243C64" w:rsidP="00B21702">
      <w:pPr>
        <w:spacing w:after="0" w:line="240" w:lineRule="auto"/>
        <w:jc w:val="both"/>
        <w:rPr>
          <w:rFonts w:cstheme="minorHAnsi"/>
          <w:sz w:val="24"/>
          <w:szCs w:val="24"/>
        </w:rPr>
      </w:pPr>
      <w:r w:rsidRPr="00243C64">
        <w:rPr>
          <w:rFonts w:cstheme="minorHAnsi"/>
          <w:sz w:val="24"/>
          <w:szCs w:val="24"/>
        </w:rPr>
        <w:t xml:space="preserve">Stakeholders representing local government organizations and institutions identified a need, generally, for training and education opportunities on a range of digital technologies, including software applications (e.g., geographic information systems (GIS), public safety operations, public administration, and utility management) and social media tools (e.g., Twitter, Facebook, </w:t>
      </w:r>
      <w:r w:rsidRPr="00243C64">
        <w:rPr>
          <w:rFonts w:cstheme="minorHAnsi"/>
          <w:sz w:val="24"/>
          <w:szCs w:val="24"/>
        </w:rPr>
        <w:lastRenderedPageBreak/>
        <w:t>and Tumblr). With instruction on their use, these technologies enable agencies to realize financial and temporal efficiencies.</w:t>
      </w:r>
    </w:p>
    <w:p w:rsidR="00A84945" w:rsidRPr="00243C64" w:rsidRDefault="00A84945" w:rsidP="00B21702">
      <w:pPr>
        <w:spacing w:after="0" w:line="240" w:lineRule="auto"/>
        <w:jc w:val="both"/>
        <w:rPr>
          <w:rFonts w:cstheme="minorHAnsi"/>
          <w:sz w:val="24"/>
          <w:szCs w:val="24"/>
        </w:rPr>
      </w:pPr>
    </w:p>
    <w:p w:rsidR="00243C64" w:rsidRDefault="00243C64" w:rsidP="00B21702">
      <w:pPr>
        <w:spacing w:after="0" w:line="240" w:lineRule="auto"/>
        <w:jc w:val="both"/>
        <w:rPr>
          <w:rFonts w:cstheme="minorHAnsi"/>
          <w:sz w:val="24"/>
          <w:szCs w:val="24"/>
        </w:rPr>
      </w:pPr>
      <w:r w:rsidRPr="00243C64">
        <w:rPr>
          <w:rFonts w:cstheme="minorHAnsi"/>
          <w:sz w:val="24"/>
          <w:szCs w:val="24"/>
        </w:rPr>
        <w:t>Steps:</w:t>
      </w:r>
    </w:p>
    <w:p w:rsidR="00A84945" w:rsidRPr="00243C64" w:rsidRDefault="00A84945" w:rsidP="00B21702">
      <w:pPr>
        <w:spacing w:after="0" w:line="240" w:lineRule="auto"/>
        <w:jc w:val="both"/>
        <w:rPr>
          <w:rFonts w:cstheme="minorHAnsi"/>
          <w:sz w:val="24"/>
          <w:szCs w:val="24"/>
        </w:rPr>
      </w:pPr>
    </w:p>
    <w:p w:rsidR="00243C64" w:rsidRPr="00243C64" w:rsidRDefault="00243C64" w:rsidP="00B21702">
      <w:pPr>
        <w:pStyle w:val="ListParagraph"/>
        <w:numPr>
          <w:ilvl w:val="0"/>
          <w:numId w:val="16"/>
        </w:numPr>
        <w:spacing w:after="0" w:line="240" w:lineRule="auto"/>
        <w:jc w:val="both"/>
        <w:rPr>
          <w:rFonts w:cstheme="minorHAnsi"/>
          <w:sz w:val="24"/>
          <w:szCs w:val="24"/>
        </w:rPr>
      </w:pPr>
      <w:r w:rsidRPr="00243C64">
        <w:rPr>
          <w:rFonts w:cstheme="minorHAnsi"/>
          <w:sz w:val="24"/>
          <w:szCs w:val="24"/>
        </w:rPr>
        <w:t>Identify all digital tools that are currently or will be used by the agency.</w:t>
      </w:r>
    </w:p>
    <w:p w:rsidR="00243C64" w:rsidRPr="00243C64" w:rsidRDefault="00243C64" w:rsidP="00B21702">
      <w:pPr>
        <w:pStyle w:val="ListParagraph"/>
        <w:numPr>
          <w:ilvl w:val="0"/>
          <w:numId w:val="16"/>
        </w:numPr>
        <w:spacing w:after="0" w:line="240" w:lineRule="auto"/>
        <w:jc w:val="both"/>
        <w:rPr>
          <w:rFonts w:cstheme="minorHAnsi"/>
          <w:sz w:val="24"/>
          <w:szCs w:val="24"/>
        </w:rPr>
      </w:pPr>
      <w:r w:rsidRPr="00243C64">
        <w:rPr>
          <w:rFonts w:cstheme="minorHAnsi"/>
          <w:sz w:val="24"/>
          <w:szCs w:val="24"/>
        </w:rPr>
        <w:t>Determine comfort level of staff persons responsible for using each tool.</w:t>
      </w:r>
    </w:p>
    <w:p w:rsidR="00243C64" w:rsidRPr="00243C64" w:rsidRDefault="00243C64" w:rsidP="00B21702">
      <w:pPr>
        <w:pStyle w:val="ListParagraph"/>
        <w:numPr>
          <w:ilvl w:val="0"/>
          <w:numId w:val="16"/>
        </w:numPr>
        <w:spacing w:after="0" w:line="240" w:lineRule="auto"/>
        <w:jc w:val="both"/>
        <w:rPr>
          <w:rFonts w:cstheme="minorHAnsi"/>
          <w:sz w:val="24"/>
          <w:szCs w:val="24"/>
        </w:rPr>
      </w:pPr>
      <w:r w:rsidRPr="00243C64">
        <w:rPr>
          <w:rFonts w:cstheme="minorHAnsi"/>
          <w:sz w:val="24"/>
          <w:szCs w:val="24"/>
        </w:rPr>
        <w:t>Seek out training and education opportunities to address knowledge.</w:t>
      </w:r>
    </w:p>
    <w:p w:rsidR="00A84945" w:rsidRDefault="00A84945" w:rsidP="00B21702">
      <w:pPr>
        <w:spacing w:after="0" w:line="240" w:lineRule="auto"/>
        <w:jc w:val="both"/>
        <w:rPr>
          <w:rFonts w:cstheme="minorHAnsi"/>
          <w:sz w:val="24"/>
          <w:szCs w:val="24"/>
        </w:rPr>
      </w:pPr>
    </w:p>
    <w:p w:rsidR="00243C64" w:rsidRDefault="00243C64" w:rsidP="00B21702">
      <w:pPr>
        <w:spacing w:after="0" w:line="240" w:lineRule="auto"/>
        <w:jc w:val="both"/>
        <w:rPr>
          <w:rFonts w:cstheme="minorHAnsi"/>
          <w:sz w:val="24"/>
          <w:szCs w:val="24"/>
        </w:rPr>
      </w:pPr>
      <w:r w:rsidRPr="00243C64">
        <w:rPr>
          <w:rFonts w:cstheme="minorHAnsi"/>
          <w:sz w:val="24"/>
          <w:szCs w:val="24"/>
        </w:rPr>
        <w:t>Technical Assistance Resources:</w:t>
      </w:r>
    </w:p>
    <w:p w:rsidR="00A84945" w:rsidRPr="00243C64" w:rsidRDefault="00A84945" w:rsidP="00B21702">
      <w:pPr>
        <w:spacing w:after="0" w:line="240" w:lineRule="auto"/>
        <w:jc w:val="both"/>
        <w:rPr>
          <w:rFonts w:cstheme="minorHAnsi"/>
          <w:sz w:val="24"/>
          <w:szCs w:val="24"/>
        </w:rPr>
      </w:pPr>
    </w:p>
    <w:p w:rsidR="00243C64" w:rsidRPr="00243C64" w:rsidRDefault="00243C64" w:rsidP="00B21702">
      <w:pPr>
        <w:pStyle w:val="ListParagraph"/>
        <w:numPr>
          <w:ilvl w:val="0"/>
          <w:numId w:val="15"/>
        </w:numPr>
        <w:spacing w:after="0" w:line="240" w:lineRule="auto"/>
        <w:jc w:val="both"/>
        <w:rPr>
          <w:rFonts w:cstheme="minorHAnsi"/>
          <w:sz w:val="24"/>
          <w:szCs w:val="24"/>
        </w:rPr>
      </w:pPr>
      <w:r w:rsidRPr="00243C64">
        <w:rPr>
          <w:rFonts w:cstheme="minorHAnsi"/>
          <w:sz w:val="24"/>
          <w:szCs w:val="24"/>
        </w:rPr>
        <w:t>University of Georgia Carl Vinson Institute's Office of Information Technology Outreach Services (ITOS)</w:t>
      </w:r>
    </w:p>
    <w:p w:rsidR="00243C64" w:rsidRPr="00243C64" w:rsidRDefault="00243C64" w:rsidP="00B21702">
      <w:pPr>
        <w:pStyle w:val="ListParagraph"/>
        <w:numPr>
          <w:ilvl w:val="0"/>
          <w:numId w:val="15"/>
        </w:numPr>
        <w:spacing w:after="0" w:line="240" w:lineRule="auto"/>
        <w:jc w:val="both"/>
        <w:rPr>
          <w:rFonts w:cstheme="minorHAnsi"/>
          <w:sz w:val="24"/>
          <w:szCs w:val="24"/>
        </w:rPr>
      </w:pPr>
      <w:r w:rsidRPr="00243C64">
        <w:rPr>
          <w:rFonts w:cstheme="minorHAnsi"/>
          <w:sz w:val="24"/>
          <w:szCs w:val="24"/>
        </w:rPr>
        <w:t>NEGRC</w:t>
      </w:r>
    </w:p>
    <w:p w:rsidR="00243C64" w:rsidRPr="00243C64" w:rsidRDefault="00243C64" w:rsidP="00B21702">
      <w:pPr>
        <w:spacing w:after="0" w:line="240" w:lineRule="auto"/>
        <w:jc w:val="both"/>
        <w:rPr>
          <w:rFonts w:cstheme="minorHAnsi"/>
          <w:sz w:val="24"/>
          <w:szCs w:val="24"/>
        </w:rPr>
      </w:pPr>
    </w:p>
    <w:p w:rsidR="009B780D" w:rsidRPr="009B780D" w:rsidRDefault="009B780D" w:rsidP="009B780D">
      <w:pPr>
        <w:pStyle w:val="Caption"/>
        <w:keepNext/>
        <w:rPr>
          <w:color w:val="auto"/>
        </w:rPr>
      </w:pPr>
      <w:r w:rsidRPr="009B780D">
        <w:rPr>
          <w:color w:val="auto"/>
        </w:rPr>
        <w:t xml:space="preserve">Table </w:t>
      </w:r>
      <w:r w:rsidRPr="009B780D">
        <w:rPr>
          <w:color w:val="auto"/>
        </w:rPr>
        <w:fldChar w:fldCharType="begin"/>
      </w:r>
      <w:r w:rsidRPr="009B780D">
        <w:rPr>
          <w:color w:val="auto"/>
        </w:rPr>
        <w:instrText xml:space="preserve"> SEQ Table \* ARABIC </w:instrText>
      </w:r>
      <w:r w:rsidRPr="009B780D">
        <w:rPr>
          <w:color w:val="auto"/>
        </w:rPr>
        <w:fldChar w:fldCharType="separate"/>
      </w:r>
      <w:r w:rsidR="00B91CD4">
        <w:rPr>
          <w:noProof/>
          <w:color w:val="auto"/>
        </w:rPr>
        <w:t>19</w:t>
      </w:r>
      <w:r w:rsidRPr="009B780D">
        <w:rPr>
          <w:color w:val="auto"/>
        </w:rPr>
        <w:fldChar w:fldCharType="end"/>
      </w:r>
    </w:p>
    <w:tbl>
      <w:tblPr>
        <w:tblStyle w:val="LightShading-Accent5"/>
        <w:tblW w:w="9648" w:type="dxa"/>
        <w:tblLayout w:type="fixed"/>
        <w:tblLook w:val="04A0" w:firstRow="1" w:lastRow="0" w:firstColumn="1" w:lastColumn="0" w:noHBand="0" w:noVBand="1"/>
      </w:tblPr>
      <w:tblGrid>
        <w:gridCol w:w="918"/>
        <w:gridCol w:w="2160"/>
        <w:gridCol w:w="2700"/>
        <w:gridCol w:w="1980"/>
        <w:gridCol w:w="1890"/>
      </w:tblGrid>
      <w:tr w:rsidR="00A84945" w:rsidRPr="009B780D" w:rsidTr="009B780D">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18" w:type="dxa"/>
            <w:hideMark/>
          </w:tcPr>
          <w:p w:rsidR="00A84945" w:rsidRPr="00A84945" w:rsidRDefault="00A84945" w:rsidP="00A84945">
            <w:pPr>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Strategy</w:t>
            </w:r>
          </w:p>
        </w:tc>
        <w:tc>
          <w:tcPr>
            <w:tcW w:w="2160" w:type="dxa"/>
            <w:hideMark/>
          </w:tcPr>
          <w:p w:rsidR="00A84945" w:rsidRPr="00A84945" w:rsidRDefault="00A84945" w:rsidP="00A849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Estimated Timeframe</w:t>
            </w:r>
          </w:p>
        </w:tc>
        <w:tc>
          <w:tcPr>
            <w:tcW w:w="2700" w:type="dxa"/>
            <w:hideMark/>
          </w:tcPr>
          <w:p w:rsidR="00A84945" w:rsidRPr="00A84945" w:rsidRDefault="00A84945" w:rsidP="00A849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Responsible Parties</w:t>
            </w:r>
          </w:p>
        </w:tc>
        <w:tc>
          <w:tcPr>
            <w:tcW w:w="1980" w:type="dxa"/>
            <w:hideMark/>
          </w:tcPr>
          <w:p w:rsidR="00A84945" w:rsidRPr="00A84945" w:rsidRDefault="00A84945" w:rsidP="00A849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Estimated Cost</w:t>
            </w:r>
          </w:p>
        </w:tc>
        <w:tc>
          <w:tcPr>
            <w:tcW w:w="1890" w:type="dxa"/>
            <w:hideMark/>
          </w:tcPr>
          <w:p w:rsidR="00A84945" w:rsidRPr="00A84945" w:rsidRDefault="00A84945" w:rsidP="00A849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Possible Funding Sources</w:t>
            </w:r>
          </w:p>
        </w:tc>
      </w:tr>
      <w:tr w:rsidR="00A84945" w:rsidRPr="009B780D" w:rsidTr="009B780D">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918" w:type="dxa"/>
            <w:hideMark/>
          </w:tcPr>
          <w:p w:rsidR="00A84945" w:rsidRPr="00A84945" w:rsidRDefault="00A84945" w:rsidP="00A84945">
            <w:pPr>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SFA 1</w:t>
            </w:r>
          </w:p>
        </w:tc>
        <w:tc>
          <w:tcPr>
            <w:tcW w:w="2160" w:type="dxa"/>
            <w:hideMark/>
          </w:tcPr>
          <w:p w:rsidR="00A84945" w:rsidRPr="00A84945" w:rsidRDefault="00A84945" w:rsidP="00A849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Varies depending on community planning deadlines</w:t>
            </w:r>
          </w:p>
        </w:tc>
        <w:tc>
          <w:tcPr>
            <w:tcW w:w="2700" w:type="dxa"/>
            <w:hideMark/>
          </w:tcPr>
          <w:p w:rsidR="00A84945" w:rsidRPr="00A84945" w:rsidRDefault="00A84945" w:rsidP="00A849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County and city governments</w:t>
            </w:r>
          </w:p>
        </w:tc>
        <w:tc>
          <w:tcPr>
            <w:tcW w:w="1980" w:type="dxa"/>
            <w:hideMark/>
          </w:tcPr>
          <w:p w:rsidR="00A84945" w:rsidRPr="00A84945" w:rsidRDefault="00A84945" w:rsidP="00A849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$1,000-5,000 (NEGRC)</w:t>
            </w:r>
          </w:p>
        </w:tc>
        <w:tc>
          <w:tcPr>
            <w:tcW w:w="1890" w:type="dxa"/>
            <w:hideMark/>
          </w:tcPr>
          <w:p w:rsidR="00A84945" w:rsidRPr="00A84945" w:rsidRDefault="00A84945" w:rsidP="00A849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General fund</w:t>
            </w:r>
          </w:p>
        </w:tc>
      </w:tr>
      <w:tr w:rsidR="00A84945" w:rsidRPr="009B780D" w:rsidTr="009B780D">
        <w:trPr>
          <w:trHeight w:val="270"/>
        </w:trPr>
        <w:tc>
          <w:tcPr>
            <w:cnfStyle w:val="001000000000" w:firstRow="0" w:lastRow="0" w:firstColumn="1" w:lastColumn="0" w:oddVBand="0" w:evenVBand="0" w:oddHBand="0" w:evenHBand="0" w:firstRowFirstColumn="0" w:firstRowLastColumn="0" w:lastRowFirstColumn="0" w:lastRowLastColumn="0"/>
            <w:tcW w:w="918" w:type="dxa"/>
            <w:hideMark/>
          </w:tcPr>
          <w:p w:rsidR="00A84945" w:rsidRPr="00A84945" w:rsidRDefault="00A84945" w:rsidP="00A84945">
            <w:pPr>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SFA 2</w:t>
            </w:r>
          </w:p>
        </w:tc>
        <w:tc>
          <w:tcPr>
            <w:tcW w:w="2160" w:type="dxa"/>
            <w:hideMark/>
          </w:tcPr>
          <w:p w:rsidR="00A84945" w:rsidRPr="00A84945" w:rsidRDefault="00A84945" w:rsidP="00A84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Two to six months</w:t>
            </w:r>
          </w:p>
        </w:tc>
        <w:tc>
          <w:tcPr>
            <w:tcW w:w="2700" w:type="dxa"/>
            <w:hideMark/>
          </w:tcPr>
          <w:p w:rsidR="00A84945" w:rsidRPr="00A84945" w:rsidRDefault="00A84945" w:rsidP="00A84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County and city governments</w:t>
            </w:r>
          </w:p>
        </w:tc>
        <w:tc>
          <w:tcPr>
            <w:tcW w:w="1980" w:type="dxa"/>
            <w:hideMark/>
          </w:tcPr>
          <w:p w:rsidR="00A84945" w:rsidRPr="00A84945" w:rsidRDefault="00A84945" w:rsidP="00A84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Minimal (staff time)</w:t>
            </w:r>
          </w:p>
        </w:tc>
        <w:tc>
          <w:tcPr>
            <w:tcW w:w="1890" w:type="dxa"/>
            <w:hideMark/>
          </w:tcPr>
          <w:p w:rsidR="00A84945" w:rsidRPr="00A84945" w:rsidRDefault="00A84945" w:rsidP="00A84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General fund</w:t>
            </w:r>
          </w:p>
        </w:tc>
      </w:tr>
      <w:tr w:rsidR="00A84945" w:rsidRPr="009B780D" w:rsidTr="009B780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18" w:type="dxa"/>
            <w:hideMark/>
          </w:tcPr>
          <w:p w:rsidR="00A84945" w:rsidRPr="00A84945" w:rsidRDefault="00A84945" w:rsidP="00A84945">
            <w:pPr>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SFA 3</w:t>
            </w:r>
          </w:p>
        </w:tc>
        <w:tc>
          <w:tcPr>
            <w:tcW w:w="2160" w:type="dxa"/>
            <w:hideMark/>
          </w:tcPr>
          <w:p w:rsidR="00A84945" w:rsidRPr="00A84945" w:rsidRDefault="00A84945" w:rsidP="00A849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Ongoing, as needs arise</w:t>
            </w:r>
          </w:p>
        </w:tc>
        <w:tc>
          <w:tcPr>
            <w:tcW w:w="2700" w:type="dxa"/>
            <w:hideMark/>
          </w:tcPr>
          <w:p w:rsidR="00A84945" w:rsidRPr="00A84945" w:rsidRDefault="00A84945" w:rsidP="00A849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County and city governments, joint development authorities, NEGRC</w:t>
            </w:r>
          </w:p>
        </w:tc>
        <w:tc>
          <w:tcPr>
            <w:tcW w:w="1980" w:type="dxa"/>
            <w:hideMark/>
          </w:tcPr>
          <w:p w:rsidR="00A84945" w:rsidRPr="00A84945" w:rsidRDefault="00A84945" w:rsidP="00A849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Minimal (staff time)</w:t>
            </w:r>
          </w:p>
        </w:tc>
        <w:tc>
          <w:tcPr>
            <w:tcW w:w="1890" w:type="dxa"/>
            <w:hideMark/>
          </w:tcPr>
          <w:p w:rsidR="00A84945" w:rsidRPr="00A84945" w:rsidRDefault="00A84945" w:rsidP="00A849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General fund</w:t>
            </w:r>
          </w:p>
        </w:tc>
      </w:tr>
      <w:tr w:rsidR="00A84945" w:rsidRPr="009B780D" w:rsidTr="009B780D">
        <w:trPr>
          <w:trHeight w:val="1152"/>
        </w:trPr>
        <w:tc>
          <w:tcPr>
            <w:cnfStyle w:val="001000000000" w:firstRow="0" w:lastRow="0" w:firstColumn="1" w:lastColumn="0" w:oddVBand="0" w:evenVBand="0" w:oddHBand="0" w:evenHBand="0" w:firstRowFirstColumn="0" w:firstRowLastColumn="0" w:lastRowFirstColumn="0" w:lastRowLastColumn="0"/>
            <w:tcW w:w="918" w:type="dxa"/>
            <w:hideMark/>
          </w:tcPr>
          <w:p w:rsidR="00A84945" w:rsidRPr="00A84945" w:rsidRDefault="00A84945" w:rsidP="00A84945">
            <w:pPr>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SFA 4</w:t>
            </w:r>
          </w:p>
        </w:tc>
        <w:tc>
          <w:tcPr>
            <w:tcW w:w="2160" w:type="dxa"/>
            <w:hideMark/>
          </w:tcPr>
          <w:p w:rsidR="00A84945" w:rsidRPr="00A84945" w:rsidRDefault="00A84945" w:rsidP="00A84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Ongoing, as needs arise</w:t>
            </w:r>
          </w:p>
        </w:tc>
        <w:tc>
          <w:tcPr>
            <w:tcW w:w="2700" w:type="dxa"/>
            <w:hideMark/>
          </w:tcPr>
          <w:p w:rsidR="00A84945" w:rsidRPr="00A84945" w:rsidRDefault="00A84945" w:rsidP="00A84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County and city governments, ITOS, NEGRC</w:t>
            </w:r>
          </w:p>
        </w:tc>
        <w:tc>
          <w:tcPr>
            <w:tcW w:w="1980" w:type="dxa"/>
            <w:hideMark/>
          </w:tcPr>
          <w:p w:rsidR="00A84945" w:rsidRPr="00A84945" w:rsidRDefault="00A84945" w:rsidP="00A84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To be determined based on training/education needs</w:t>
            </w:r>
          </w:p>
        </w:tc>
        <w:tc>
          <w:tcPr>
            <w:tcW w:w="1890" w:type="dxa"/>
            <w:hideMark/>
          </w:tcPr>
          <w:p w:rsidR="00A84945" w:rsidRPr="00A84945" w:rsidRDefault="00A84945" w:rsidP="00A84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A84945">
              <w:rPr>
                <w:rFonts w:ascii="Calibri" w:eastAsia="Times New Roman" w:hAnsi="Calibri" w:cs="Times New Roman"/>
                <w:color w:val="000000"/>
                <w:sz w:val="20"/>
                <w:szCs w:val="20"/>
              </w:rPr>
              <w:t>General fund, private foundation grants, DCA-NEGRC planning services contract</w:t>
            </w:r>
          </w:p>
        </w:tc>
      </w:tr>
    </w:tbl>
    <w:p w:rsidR="00672A78" w:rsidRPr="00243C64" w:rsidRDefault="00672A78" w:rsidP="00B21702">
      <w:pPr>
        <w:spacing w:after="0" w:line="240" w:lineRule="auto"/>
        <w:jc w:val="both"/>
        <w:rPr>
          <w:b/>
          <w:sz w:val="24"/>
          <w:szCs w:val="24"/>
        </w:rPr>
      </w:pPr>
    </w:p>
    <w:p w:rsidR="00672A78" w:rsidRPr="00243C64" w:rsidRDefault="00672A78" w:rsidP="00B21702">
      <w:pPr>
        <w:spacing w:after="0" w:line="240" w:lineRule="auto"/>
        <w:jc w:val="both"/>
        <w:rPr>
          <w:b/>
          <w:sz w:val="24"/>
          <w:szCs w:val="24"/>
        </w:rPr>
      </w:pPr>
    </w:p>
    <w:p w:rsidR="007E762D" w:rsidRPr="00243C64" w:rsidRDefault="007E762D" w:rsidP="00B21702">
      <w:pPr>
        <w:spacing w:after="0" w:line="240" w:lineRule="auto"/>
        <w:jc w:val="both"/>
        <w:rPr>
          <w:b/>
          <w:sz w:val="24"/>
          <w:szCs w:val="24"/>
        </w:rPr>
      </w:pPr>
    </w:p>
    <w:sectPr w:rsidR="007E762D" w:rsidRPr="00243C64" w:rsidSect="00A84945">
      <w:headerReference w:type="even" r:id="rId59"/>
      <w:headerReference w:type="default" r:id="rId60"/>
      <w:headerReference w:type="firs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5BE" w:rsidRDefault="000155BE" w:rsidP="00550F52">
      <w:pPr>
        <w:spacing w:after="0" w:line="240" w:lineRule="auto"/>
      </w:pPr>
      <w:r>
        <w:separator/>
      </w:r>
    </w:p>
  </w:endnote>
  <w:endnote w:type="continuationSeparator" w:id="0">
    <w:p w:rsidR="000155BE" w:rsidRDefault="000155BE" w:rsidP="00550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41929"/>
      <w:docPartObj>
        <w:docPartGallery w:val="Page Numbers (Bottom of Page)"/>
        <w:docPartUnique/>
      </w:docPartObj>
    </w:sdtPr>
    <w:sdtEndPr/>
    <w:sdtContent>
      <w:p w:rsidR="001B43BE" w:rsidRDefault="001B43BE">
        <w:pPr>
          <w:pStyle w:val="Footer"/>
          <w:jc w:val="right"/>
        </w:pPr>
        <w:r>
          <w:t xml:space="preserve">Page </w:t>
        </w:r>
        <w:r w:rsidRPr="001B43BE">
          <w:rPr>
            <w:color w:val="B6FCF4"/>
          </w:rPr>
          <w:t>|</w:t>
        </w:r>
        <w:r>
          <w:t xml:space="preserve"> </w:t>
        </w:r>
        <w:r>
          <w:fldChar w:fldCharType="begin"/>
        </w:r>
        <w:r>
          <w:instrText xml:space="preserve"> PAGE   \* MERGEFORMAT </w:instrText>
        </w:r>
        <w:r>
          <w:fldChar w:fldCharType="separate"/>
        </w:r>
        <w:r w:rsidR="00481858">
          <w:rPr>
            <w:noProof/>
          </w:rPr>
          <w:t>20</w:t>
        </w:r>
        <w:r>
          <w:rPr>
            <w:noProof/>
          </w:rPr>
          <w:fldChar w:fldCharType="end"/>
        </w:r>
        <w:r>
          <w:t xml:space="preserve"> </w:t>
        </w:r>
      </w:p>
    </w:sdtContent>
  </w:sdt>
  <w:p w:rsidR="001B43BE" w:rsidRDefault="001B43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5BE" w:rsidRDefault="000155BE" w:rsidP="00550F52">
      <w:pPr>
        <w:spacing w:after="0" w:line="240" w:lineRule="auto"/>
      </w:pPr>
      <w:r>
        <w:separator/>
      </w:r>
    </w:p>
  </w:footnote>
  <w:footnote w:type="continuationSeparator" w:id="0">
    <w:p w:rsidR="000155BE" w:rsidRDefault="000155BE" w:rsidP="00550F52">
      <w:pPr>
        <w:spacing w:after="0" w:line="240" w:lineRule="auto"/>
      </w:pPr>
      <w:r>
        <w:continuationSeparator/>
      </w:r>
    </w:p>
  </w:footnote>
  <w:footnote w:id="1">
    <w:p w:rsidR="000155BE" w:rsidRPr="002912DA" w:rsidRDefault="000155BE" w:rsidP="005E1214">
      <w:pPr>
        <w:pStyle w:val="FootnoteText"/>
        <w:spacing w:after="0" w:line="240" w:lineRule="auto"/>
        <w:rPr>
          <w:sz w:val="18"/>
          <w:szCs w:val="18"/>
        </w:rPr>
      </w:pPr>
      <w:r w:rsidRPr="002912DA">
        <w:rPr>
          <w:rStyle w:val="FootnoteReference"/>
          <w:sz w:val="18"/>
          <w:szCs w:val="18"/>
        </w:rPr>
        <w:footnoteRef/>
      </w:r>
      <w:r w:rsidRPr="002912DA">
        <w:rPr>
          <w:sz w:val="18"/>
          <w:szCs w:val="18"/>
        </w:rPr>
        <w:t xml:space="preserve"> For comparison, please reference the </w:t>
      </w:r>
      <w:r w:rsidRPr="002912DA">
        <w:rPr>
          <w:i/>
          <w:sz w:val="18"/>
          <w:szCs w:val="18"/>
        </w:rPr>
        <w:t>Northeast Georgia Plan 2035 – Regional Assessment</w:t>
      </w:r>
      <w:r w:rsidRPr="002912DA">
        <w:rPr>
          <w:sz w:val="18"/>
          <w:szCs w:val="18"/>
        </w:rPr>
        <w:t xml:space="preserve">, p. 15-19.  This document is available through the NEGRC website at </w:t>
      </w:r>
      <w:hyperlink r:id="rId1" w:history="1">
        <w:r w:rsidRPr="002912DA">
          <w:rPr>
            <w:rStyle w:val="Hyperlink"/>
            <w:sz w:val="18"/>
            <w:szCs w:val="18"/>
          </w:rPr>
          <w:t>http://www.negrc.org/resource-1.php?page_ID=1294178146</w:t>
        </w:r>
      </w:hyperlink>
    </w:p>
  </w:footnote>
  <w:footnote w:id="2">
    <w:p w:rsidR="000155BE" w:rsidRPr="002912DA" w:rsidRDefault="000155BE" w:rsidP="005E1214">
      <w:pPr>
        <w:pStyle w:val="FootnoteText"/>
        <w:spacing w:after="0" w:line="240" w:lineRule="auto"/>
        <w:rPr>
          <w:sz w:val="18"/>
          <w:szCs w:val="18"/>
        </w:rPr>
      </w:pPr>
      <w:r w:rsidRPr="002912DA">
        <w:rPr>
          <w:rStyle w:val="FootnoteReference"/>
          <w:sz w:val="18"/>
          <w:szCs w:val="18"/>
        </w:rPr>
        <w:footnoteRef/>
      </w:r>
      <w:r w:rsidRPr="002912DA">
        <w:rPr>
          <w:sz w:val="18"/>
          <w:szCs w:val="18"/>
        </w:rPr>
        <w:t xml:space="preserve"> For comparison, please reference the </w:t>
      </w:r>
      <w:r w:rsidRPr="002912DA">
        <w:rPr>
          <w:i/>
          <w:sz w:val="18"/>
          <w:szCs w:val="18"/>
        </w:rPr>
        <w:t xml:space="preserve">2012 Northeast Georgia Comprehensive Economic Development Strategy </w:t>
      </w:r>
      <w:r w:rsidRPr="002912DA">
        <w:rPr>
          <w:sz w:val="18"/>
          <w:szCs w:val="18"/>
        </w:rPr>
        <w:t xml:space="preserve">available through the NEGRC website at:  </w:t>
      </w:r>
      <w:hyperlink r:id="rId2" w:history="1">
        <w:r w:rsidRPr="002912DA">
          <w:rPr>
            <w:rStyle w:val="Hyperlink"/>
            <w:sz w:val="18"/>
            <w:szCs w:val="18"/>
          </w:rPr>
          <w:t>http://www.negrc.org/resource-1.php?page_ID=1389969106</w:t>
        </w:r>
      </w:hyperlink>
    </w:p>
  </w:footnote>
  <w:footnote w:id="3">
    <w:p w:rsidR="000155BE" w:rsidRDefault="000155BE" w:rsidP="005E1214">
      <w:pPr>
        <w:pStyle w:val="FootnoteText"/>
        <w:spacing w:after="0" w:line="240" w:lineRule="auto"/>
      </w:pPr>
      <w:r>
        <w:rPr>
          <w:rStyle w:val="FootnoteReference"/>
        </w:rPr>
        <w:footnoteRef/>
      </w:r>
      <w:r>
        <w:t xml:space="preserve"> Georgia Department of Education </w:t>
      </w:r>
    </w:p>
  </w:footnote>
  <w:footnote w:id="4">
    <w:p w:rsidR="000155BE" w:rsidRDefault="000155BE" w:rsidP="005E1214">
      <w:pPr>
        <w:pStyle w:val="FootnoteText"/>
        <w:spacing w:after="0" w:line="240" w:lineRule="auto"/>
      </w:pPr>
      <w:r>
        <w:rPr>
          <w:rStyle w:val="FootnoteReference"/>
        </w:rPr>
        <w:footnoteRef/>
      </w:r>
      <w:r>
        <w:t xml:space="preserve"> Georgia Independent School Association</w:t>
      </w:r>
    </w:p>
  </w:footnote>
  <w:footnote w:id="5">
    <w:p w:rsidR="000155BE" w:rsidRDefault="000155BE" w:rsidP="00BB4581"/>
  </w:footnote>
  <w:footnote w:id="6">
    <w:p w:rsidR="000155BE" w:rsidRPr="004F67B1" w:rsidRDefault="000155BE" w:rsidP="005E1214">
      <w:pPr>
        <w:pStyle w:val="FootnoteText"/>
        <w:spacing w:line="240" w:lineRule="auto"/>
        <w:jc w:val="both"/>
        <w:rPr>
          <w:sz w:val="18"/>
          <w:szCs w:val="18"/>
        </w:rPr>
      </w:pPr>
      <w:r>
        <w:rPr>
          <w:rStyle w:val="FootnoteReference"/>
        </w:rPr>
        <w:footnoteRef/>
      </w:r>
      <w:r>
        <w:t xml:space="preserve"> </w:t>
      </w:r>
      <w:r w:rsidRPr="004F67B1">
        <w:rPr>
          <w:sz w:val="18"/>
          <w:szCs w:val="18"/>
        </w:rPr>
        <w:t xml:space="preserve">“Since the census block is the smallest geographic unit for which the U.S. Census collects aggregate data, if a provider offers availability to any location within a census block less than two square miles, we estimate household or population coverage will include the entire block, even though it is possible that some areas are not covered.” </w:t>
      </w:r>
      <w:proofErr w:type="gramStart"/>
      <w:r w:rsidRPr="004F67B1">
        <w:rPr>
          <w:sz w:val="18"/>
          <w:szCs w:val="18"/>
        </w:rPr>
        <w:t xml:space="preserve">Retrieved on July 29, 2014 from the Technical Overview page of the National Broadband Map website at </w:t>
      </w:r>
      <w:hyperlink r:id="rId3" w:history="1">
        <w:r w:rsidRPr="004F67B1">
          <w:rPr>
            <w:rStyle w:val="Hyperlink"/>
            <w:sz w:val="18"/>
            <w:szCs w:val="18"/>
          </w:rPr>
          <w:t>http://www.broadbandmap.gov/about/technical-overview/assembling-the-data</w:t>
        </w:r>
      </w:hyperlink>
      <w:r w:rsidRPr="004F67B1">
        <w:rPr>
          <w:sz w:val="18"/>
          <w:szCs w:val="18"/>
        </w:rPr>
        <w:t>.</w:t>
      </w:r>
      <w:proofErr w:type="gramEnd"/>
      <w:r w:rsidRPr="004F67B1">
        <w:rPr>
          <w:sz w:val="18"/>
          <w:szCs w:val="18"/>
        </w:rPr>
        <w:t xml:space="preserve"> </w:t>
      </w:r>
    </w:p>
  </w:footnote>
  <w:footnote w:id="7">
    <w:p w:rsidR="000155BE" w:rsidRPr="0002348C" w:rsidRDefault="000155BE" w:rsidP="005E1214">
      <w:pPr>
        <w:pStyle w:val="FootnoteText"/>
        <w:spacing w:after="0" w:line="240" w:lineRule="auto"/>
        <w:rPr>
          <w:sz w:val="18"/>
          <w:szCs w:val="18"/>
        </w:rPr>
      </w:pPr>
      <w:r w:rsidRPr="0002348C">
        <w:rPr>
          <w:rStyle w:val="FootnoteReference"/>
          <w:sz w:val="18"/>
          <w:szCs w:val="18"/>
        </w:rPr>
        <w:footnoteRef/>
      </w:r>
      <w:r w:rsidRPr="0002348C">
        <w:rPr>
          <w:sz w:val="18"/>
          <w:szCs w:val="18"/>
        </w:rPr>
        <w:t xml:space="preserve"> </w:t>
      </w:r>
      <w:proofErr w:type="gramStart"/>
      <w:r w:rsidRPr="0002348C">
        <w:rPr>
          <w:sz w:val="18"/>
          <w:szCs w:val="18"/>
        </w:rPr>
        <w:t>Madison, Oglethorpe, Elbert, Oconee, Morgan, Greene, and Jasper.</w:t>
      </w:r>
      <w:proofErr w:type="gramEnd"/>
    </w:p>
  </w:footnote>
  <w:footnote w:id="8">
    <w:p w:rsidR="000155BE" w:rsidRDefault="000155BE" w:rsidP="005E1214">
      <w:pPr>
        <w:pStyle w:val="FootnoteText"/>
        <w:spacing w:after="0" w:line="240" w:lineRule="auto"/>
      </w:pPr>
      <w:r w:rsidRPr="0002348C">
        <w:rPr>
          <w:rStyle w:val="FootnoteReference"/>
          <w:sz w:val="18"/>
          <w:szCs w:val="18"/>
        </w:rPr>
        <w:footnoteRef/>
      </w:r>
      <w:r w:rsidRPr="0002348C">
        <w:rPr>
          <w:sz w:val="18"/>
          <w:szCs w:val="18"/>
        </w:rPr>
        <w:t xml:space="preserve"> For more information about these, please refer to the funding sources section of this document.</w:t>
      </w:r>
    </w:p>
  </w:footnote>
  <w:footnote w:id="9">
    <w:p w:rsidR="000155BE" w:rsidRPr="00EB0173" w:rsidRDefault="000155BE" w:rsidP="005E1214">
      <w:pPr>
        <w:pStyle w:val="FootnoteText"/>
        <w:spacing w:after="0" w:line="240" w:lineRule="auto"/>
      </w:pPr>
      <w:r w:rsidRPr="00EB0173">
        <w:rPr>
          <w:rStyle w:val="FootnoteReference"/>
        </w:rPr>
        <w:footnoteRef/>
      </w:r>
      <w:r w:rsidRPr="00EB0173">
        <w:t xml:space="preserve"> </w:t>
      </w:r>
      <w:r w:rsidRPr="00EB0173">
        <w:rPr>
          <w:rFonts w:eastAsia="Times New Roman" w:cs="Times New Roman"/>
          <w:color w:val="000000"/>
          <w:sz w:val="18"/>
          <w:szCs w:val="18"/>
        </w:rPr>
        <w:t xml:space="preserve">Georgia’s Rural Counties as identified by the State Office of Rural Health: </w:t>
      </w:r>
      <w:hyperlink r:id="rId4" w:history="1">
        <w:r w:rsidRPr="00EB0173">
          <w:rPr>
            <w:rStyle w:val="Hyperlink"/>
            <w:rFonts w:eastAsia="Times New Roman" w:cs="Times New Roman"/>
            <w:sz w:val="18"/>
            <w:szCs w:val="18"/>
          </w:rPr>
          <w:t>https://dch.georgia.gov/sites/dch.georgia.gov/files/related_files/document/Georgia%27s%20Rural%20Counties-April%202014.pdf</w:t>
        </w:r>
      </w:hyperlink>
      <w:r w:rsidRPr="00EB0173">
        <w:rPr>
          <w:rFonts w:eastAsia="Times New Roman" w:cs="Times New Roman"/>
          <w:color w:val="000000"/>
          <w:sz w:val="18"/>
          <w:szCs w:val="18"/>
        </w:rPr>
        <w:t>.</w:t>
      </w:r>
      <w:r w:rsidRPr="00EB0173">
        <w:rPr>
          <w:rFonts w:eastAsia="Times New Roman" w:cs="Times New Roman"/>
          <w:color w:val="000000"/>
          <w:sz w:val="18"/>
          <w:szCs w:val="18"/>
        </w:rPr>
        <w:tab/>
      </w:r>
    </w:p>
  </w:footnote>
  <w:footnote w:id="10">
    <w:p w:rsidR="000155BE" w:rsidRPr="00EB0173" w:rsidRDefault="000155BE" w:rsidP="005E1214">
      <w:pPr>
        <w:pStyle w:val="FootnoteText"/>
        <w:spacing w:after="0" w:line="240" w:lineRule="auto"/>
      </w:pPr>
      <w:r w:rsidRPr="00EB0173">
        <w:rPr>
          <w:rStyle w:val="FootnoteReference"/>
        </w:rPr>
        <w:footnoteRef/>
      </w:r>
      <w:r w:rsidRPr="00EB0173">
        <w:t xml:space="preserve"> </w:t>
      </w:r>
      <w:r w:rsidRPr="00EB0173">
        <w:rPr>
          <w:rFonts w:eastAsia="Times New Roman" w:cs="Times New Roman"/>
          <w:color w:val="000000"/>
          <w:sz w:val="18"/>
          <w:szCs w:val="18"/>
        </w:rPr>
        <w:t xml:space="preserve">Eligible Rural Areas search-by-state tool: </w:t>
      </w:r>
      <w:hyperlink r:id="rId5" w:history="1">
        <w:r w:rsidRPr="00EB0173">
          <w:rPr>
            <w:rStyle w:val="Hyperlink"/>
            <w:rFonts w:eastAsia="Times New Roman" w:cs="Times New Roman"/>
            <w:sz w:val="18"/>
            <w:szCs w:val="18"/>
          </w:rPr>
          <w:t>http://www.usac.org/rhc/telecommunications/tools/Rural/search/search.asp</w:t>
        </w:r>
      </w:hyperlink>
      <w:r w:rsidRPr="00EB0173">
        <w:rPr>
          <w:rFonts w:eastAsia="Times New Roman" w:cs="Times New Roman"/>
          <w:color w:val="000000"/>
          <w:sz w:val="18"/>
          <w:szCs w:val="18"/>
        </w:rPr>
        <w:t>.</w:t>
      </w:r>
    </w:p>
  </w:footnote>
  <w:footnote w:id="11">
    <w:p w:rsidR="000155BE" w:rsidRDefault="000155BE" w:rsidP="005E1214">
      <w:pPr>
        <w:pStyle w:val="FootnoteText"/>
        <w:spacing w:after="0" w:line="240" w:lineRule="auto"/>
        <w:rPr>
          <w:rFonts w:eastAsia="Times New Roman" w:cs="Times New Roman"/>
          <w:color w:val="000000"/>
          <w:sz w:val="18"/>
          <w:szCs w:val="18"/>
        </w:rPr>
      </w:pPr>
      <w:r w:rsidRPr="00EB0173">
        <w:rPr>
          <w:rStyle w:val="FootnoteReference"/>
        </w:rPr>
        <w:footnoteRef/>
      </w:r>
      <w:r w:rsidRPr="00EB0173">
        <w:t xml:space="preserve"> </w:t>
      </w:r>
      <w:r w:rsidRPr="00EB0173">
        <w:rPr>
          <w:rFonts w:eastAsia="Times New Roman" w:cs="Times New Roman"/>
          <w:color w:val="000000"/>
          <w:sz w:val="18"/>
          <w:szCs w:val="18"/>
        </w:rPr>
        <w:t xml:space="preserve">Additional information on the White House </w:t>
      </w:r>
      <w:proofErr w:type="spellStart"/>
      <w:r w:rsidRPr="00EB0173">
        <w:rPr>
          <w:rFonts w:eastAsia="Times New Roman" w:cs="Times New Roman"/>
          <w:color w:val="000000"/>
          <w:sz w:val="18"/>
          <w:szCs w:val="18"/>
        </w:rPr>
        <w:t>ConnectED</w:t>
      </w:r>
      <w:proofErr w:type="spellEnd"/>
      <w:r w:rsidRPr="00EB0173">
        <w:rPr>
          <w:rFonts w:eastAsia="Times New Roman" w:cs="Times New Roman"/>
          <w:color w:val="000000"/>
          <w:sz w:val="18"/>
          <w:szCs w:val="18"/>
        </w:rPr>
        <w:t xml:space="preserve"> Initiative:</w:t>
      </w:r>
    </w:p>
    <w:p w:rsidR="000155BE" w:rsidRPr="00EB0173" w:rsidRDefault="000155BE" w:rsidP="005E1214">
      <w:pPr>
        <w:pStyle w:val="FootnoteText"/>
        <w:spacing w:line="240" w:lineRule="auto"/>
      </w:pPr>
      <w:r w:rsidRPr="00EB0173">
        <w:rPr>
          <w:rFonts w:eastAsia="Times New Roman" w:cs="Times New Roman"/>
          <w:color w:val="000000"/>
          <w:sz w:val="18"/>
          <w:szCs w:val="18"/>
        </w:rPr>
        <w:t xml:space="preserve"> </w:t>
      </w:r>
      <w:hyperlink r:id="rId6" w:history="1">
        <w:r w:rsidRPr="00EB0173">
          <w:rPr>
            <w:rStyle w:val="Hyperlink"/>
            <w:rFonts w:eastAsia="Times New Roman" w:cs="Times New Roman"/>
            <w:sz w:val="18"/>
            <w:szCs w:val="18"/>
          </w:rPr>
          <w:t>http://www.whitehouse.gov/issues/education/k-12/connected#schools</w:t>
        </w:r>
      </w:hyperlink>
      <w:r w:rsidRPr="00EB0173">
        <w:rPr>
          <w:rFonts w:eastAsia="Times New Roman" w:cs="Times New Roman"/>
          <w:color w:val="000000"/>
          <w:sz w:val="18"/>
          <w:szCs w:val="18"/>
        </w:rPr>
        <w:t>.</w:t>
      </w:r>
    </w:p>
  </w:footnote>
  <w:footnote w:id="12">
    <w:p w:rsidR="000155BE" w:rsidRDefault="000155BE" w:rsidP="005E1214">
      <w:pPr>
        <w:pStyle w:val="FootnoteText"/>
        <w:spacing w:line="240" w:lineRule="auto"/>
      </w:pPr>
      <w:r>
        <w:rPr>
          <w:rStyle w:val="FootnoteReference"/>
        </w:rPr>
        <w:footnoteRef/>
      </w:r>
      <w:r>
        <w:t xml:space="preserve"> </w:t>
      </w:r>
      <w:r w:rsidRPr="00A84945">
        <w:rPr>
          <w:sz w:val="18"/>
          <w:szCs w:val="18"/>
        </w:rPr>
        <w:t>Per the most recently-adopted Local Planning Requirements, Regional Commissions are able to prepare the three core elements (Community Goals, Needs and Opportunities, Community Work Program) at no cost to the local government. A small fee may be charged for preparation of additional plan elements.</w:t>
      </w:r>
    </w:p>
  </w:footnote>
  <w:footnote w:id="13">
    <w:p w:rsidR="000155BE" w:rsidRDefault="000155BE" w:rsidP="00243C64">
      <w:pPr>
        <w:pStyle w:val="FootnoteText"/>
      </w:pPr>
      <w:r>
        <w:rPr>
          <w:rStyle w:val="FootnoteReference"/>
        </w:rPr>
        <w:footnoteRef/>
      </w:r>
      <w:r>
        <w:t xml:space="preserve"> </w:t>
      </w:r>
      <w:proofErr w:type="gramStart"/>
      <w:r w:rsidRPr="00A84945">
        <w:rPr>
          <w:rFonts w:cstheme="minorHAnsi"/>
          <w:sz w:val="18"/>
          <w:szCs w:val="18"/>
        </w:rPr>
        <w:t xml:space="preserve">Retrieved from the FHWA website on June 26, 2014 at </w:t>
      </w:r>
      <w:hyperlink r:id="rId7" w:history="1">
        <w:r w:rsidRPr="00A84945">
          <w:rPr>
            <w:rStyle w:val="Hyperlink"/>
            <w:rFonts w:cstheme="minorHAnsi"/>
            <w:sz w:val="18"/>
            <w:szCs w:val="18"/>
          </w:rPr>
          <w:t>http://www.fhwa.dot.gov/policy/otps/exeorder.cfm</w:t>
        </w:r>
      </w:hyperlink>
      <w:r w:rsidRPr="00A84945">
        <w:rPr>
          <w:rFonts w:cstheme="minorHAnsi"/>
          <w:sz w:val="18"/>
          <w:szCs w:val="18"/>
        </w:rPr>
        <w:t>.</w:t>
      </w:r>
      <w:proofErr w:type="gramEnd"/>
      <w:r>
        <w:rPr>
          <w:rFonts w:cstheme="minorHAnsi"/>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24" o:spid="_x0000_s6149" type="#_x0000_t136" style="position:absolute;margin-left:0;margin-top:0;width:412.4pt;height:247.45pt;rotation:315;z-index:-251624448;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29" o:spid="_x0000_s6154" type="#_x0000_t136" style="position:absolute;margin-left:0;margin-top:0;width:412.4pt;height:247.45pt;rotation:315;z-index:-251614208;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33" o:spid="_x0000_s6158" type="#_x0000_t136" style="position:absolute;margin-left:0;margin-top:0;width:412.4pt;height:247.45pt;rotation:315;z-index:-251606016;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Pr="0002467F" w:rsidRDefault="00481858">
    <w:pPr>
      <w:pStyle w:val="Header"/>
      <w:rPr>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34" o:spid="_x0000_s6159" type="#_x0000_t136" style="position:absolute;margin-left:0;margin-top:0;width:412.4pt;height:247.45pt;rotation:315;z-index:-251603968;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r w:rsidR="000155BE">
      <w:rPr>
        <w:b/>
        <w:sz w:val="28"/>
        <w:szCs w:val="28"/>
      </w:rPr>
      <w:t>Economic Summary</w:t>
    </w:r>
  </w:p>
  <w:p w:rsidR="000155BE" w:rsidRDefault="000155BE">
    <w:pPr>
      <w:pStyle w:val="Header"/>
    </w:pPr>
    <w:r>
      <w:rPr>
        <w:noProof/>
      </w:rPr>
      <mc:AlternateContent>
        <mc:Choice Requires="wps">
          <w:drawing>
            <wp:anchor distT="0" distB="0" distL="114300" distR="114300" simplePos="0" relativeHeight="251669504" behindDoc="0" locked="0" layoutInCell="1" allowOverlap="1" wp14:anchorId="07D92081" wp14:editId="2FC0B59A">
              <wp:simplePos x="0" y="0"/>
              <wp:positionH relativeFrom="column">
                <wp:posOffset>0</wp:posOffset>
              </wp:positionH>
              <wp:positionV relativeFrom="paragraph">
                <wp:posOffset>41585</wp:posOffset>
              </wp:positionV>
              <wp:extent cx="5947200" cy="14400"/>
              <wp:effectExtent l="19050" t="19050" r="15875" b="24130"/>
              <wp:wrapNone/>
              <wp:docPr id="14" name="Straight Connector 14"/>
              <wp:cNvGraphicFramePr/>
              <a:graphic xmlns:a="http://schemas.openxmlformats.org/drawingml/2006/main">
                <a:graphicData uri="http://schemas.microsoft.com/office/word/2010/wordprocessingShape">
                  <wps:wsp>
                    <wps:cNvCnPr/>
                    <wps:spPr>
                      <a:xfrm flipV="1">
                        <a:off x="0" y="0"/>
                        <a:ext cx="5947200" cy="14400"/>
                      </a:xfrm>
                      <a:prstGeom prst="line">
                        <a:avLst/>
                      </a:prstGeom>
                      <a:ln w="38100">
                        <a:solidFill>
                          <a:srgbClr val="B6FCF4">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0,3.25pt" to="468.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FV+AEAAD8EAAAOAAAAZHJzL2Uyb0RvYy54bWysU02P0zAQvSPxHyzfadIl+xU1XYmuygVB&#10;xbLcXcduLPlLY9O0/56xnYYFxAHExfKMZ57fex6vHk5Gk6OAoJzt6HJRUyIsd72yh44+f9m+uaMk&#10;RGZ7pp0VHT2LQB/Wr1+tRt+KKzc43QsgCGJDO/qODjH6tqoCH4RhYeG8sHgoHRgWMYRD1QMbEd3o&#10;6qqub6rRQe/BcRECZh/LIV1nfCkFj5+kDCIS3VHkFvMKed2ntVqvWHsA5gfFJxrsH1gYpixeOkM9&#10;ssjIN1C/QRnFwQUn44I7UzkpFRdZA6pZ1r+oeRqYF1kLmhP8bFP4f7D843EHRPX4dg0llhl8o6cI&#10;TB2GSDbOWnTQAcFDdGr0ocWGjd3BFAW/gyT7JMEQqZX/ikDZCJRGTtnn8+yzOEXCMXl939zi41HC&#10;8WzZNLhFvKrAJDgPIb4XzpC06ahWNtnAWnb8EGIpvZSktLZk7OjbuyUCpTg4rfqt0joHcNhvNJAj&#10;wxF4d7PdbJuCpf3ASvb6tp4phFKe6bzAQXLaYjJZUETnXTxrURh8FhJtRHFFfh5gMd/LOBc2LieZ&#10;2mJ1apPIcW6cuKfJ/1PjVJ9aRR7uv2meO/LNzsa52SjroDj38+3xdKEsS/3FgaI7WbB3/TmPQ7YG&#10;pzQ7N/2o9A1exrn9x79ffwcAAP//AwBQSwMEFAAGAAgAAAAhAELi/bDbAAAABAEAAA8AAABkcnMv&#10;ZG93bnJldi54bWxMj91KxDAUhO8F3yEcwTs3XcVSa08XXfAPBHHXB0ibY1NMTkqTbbs+vfFKL4cZ&#10;Zr6pNouzYqIx9J4R1qsMBHHrdc8dwsf+4aIAEaJiraxnQjhSgE19elKpUvuZ32naxU6kEg6lQjAx&#10;DqWUoTXkVFj5gTh5n350KiY5dlKPak7lzsrLLMulUz2nBaMG2hpqv3YHh+Celu+3x9f1/sVOzb2M&#10;03F+NlvE87Pl7hZEpCX+heEXP6FDnZgaf2AdhEVIRyJCfg0imTdXeQ6iQSgKkHUl/8PXPwAAAP//&#10;AwBQSwECLQAUAAYACAAAACEAtoM4kv4AAADhAQAAEwAAAAAAAAAAAAAAAAAAAAAAW0NvbnRlbnRf&#10;VHlwZXNdLnhtbFBLAQItABQABgAIAAAAIQA4/SH/1gAAAJQBAAALAAAAAAAAAAAAAAAAAC8BAABf&#10;cmVscy8ucmVsc1BLAQItABQABgAIAAAAIQCGSUFV+AEAAD8EAAAOAAAAAAAAAAAAAAAAAC4CAABk&#10;cnMvZTJvRG9jLnhtbFBLAQItABQABgAIAAAAIQBC4v2w2wAAAAQBAAAPAAAAAAAAAAAAAAAAAFIE&#10;AABkcnMvZG93bnJldi54bWxQSwUGAAAAAAQABADzAAAAWgUAAAAA&#10;" strokecolor="#b6fcf4" strokeweight="3pt">
              <v:stroke opacity="37265f"/>
            </v:line>
          </w:pict>
        </mc:Fallback>
      </mc:AlternateContent>
    </w:r>
  </w:p>
  <w:p w:rsidR="000155BE" w:rsidRDefault="000155B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32" o:spid="_x0000_s6157" type="#_x0000_t136" style="position:absolute;margin-left:0;margin-top:0;width:412.4pt;height:247.45pt;rotation:315;z-index:-251608064;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36" o:spid="_x0000_s6161" type="#_x0000_t136" style="position:absolute;margin-left:0;margin-top:0;width:412.4pt;height:247.45pt;rotation:315;z-index:-251599872;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Pr="0002467F" w:rsidRDefault="00481858">
    <w:pPr>
      <w:pStyle w:val="Header"/>
      <w:rPr>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37" o:spid="_x0000_s6162" type="#_x0000_t136" style="position:absolute;margin-left:0;margin-top:0;width:412.4pt;height:247.45pt;rotation:315;z-index:-251597824;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r w:rsidR="000155BE">
      <w:rPr>
        <w:b/>
        <w:sz w:val="28"/>
        <w:szCs w:val="28"/>
      </w:rPr>
      <w:t>Workforce and Demographic Summary</w:t>
    </w:r>
  </w:p>
  <w:p w:rsidR="000155BE" w:rsidRDefault="000155BE">
    <w:pPr>
      <w:pStyle w:val="Header"/>
    </w:pPr>
    <w:r>
      <w:rPr>
        <w:noProof/>
      </w:rPr>
      <mc:AlternateContent>
        <mc:Choice Requires="wps">
          <w:drawing>
            <wp:anchor distT="0" distB="0" distL="114300" distR="114300" simplePos="0" relativeHeight="251671552" behindDoc="0" locked="0" layoutInCell="1" allowOverlap="1" wp14:anchorId="0F03AC64" wp14:editId="1AF92AD5">
              <wp:simplePos x="0" y="0"/>
              <wp:positionH relativeFrom="column">
                <wp:posOffset>0</wp:posOffset>
              </wp:positionH>
              <wp:positionV relativeFrom="paragraph">
                <wp:posOffset>41585</wp:posOffset>
              </wp:positionV>
              <wp:extent cx="5947200" cy="14400"/>
              <wp:effectExtent l="19050" t="19050" r="15875" b="24130"/>
              <wp:wrapNone/>
              <wp:docPr id="15" name="Straight Connector 15"/>
              <wp:cNvGraphicFramePr/>
              <a:graphic xmlns:a="http://schemas.openxmlformats.org/drawingml/2006/main">
                <a:graphicData uri="http://schemas.microsoft.com/office/word/2010/wordprocessingShape">
                  <wps:wsp>
                    <wps:cNvCnPr/>
                    <wps:spPr>
                      <a:xfrm flipV="1">
                        <a:off x="0" y="0"/>
                        <a:ext cx="5947200" cy="14400"/>
                      </a:xfrm>
                      <a:prstGeom prst="line">
                        <a:avLst/>
                      </a:prstGeom>
                      <a:ln w="38100">
                        <a:solidFill>
                          <a:srgbClr val="B6FCF4">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0,3.25pt" to="468.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f+QEAAD8EAAAOAAAAZHJzL2Uyb0RvYy54bWysU02P0zAQvSPxHyzfadKl3V2ipivRVbkg&#10;qFjg7jp2Y8lfGpsm/feM7TQsIA4gLpZnPPP83vN48zAaTc4CgnK2pctFTYmw3HXKnlr65fP+1T0l&#10;ITLbMe2saOlFBPqwffliM/hG3Lje6U4AQRAbmsG3tI/RN1UVeC8MCwvnhcVD6cCwiCGcqg7YgOhG&#10;Vzd1fVsNDjoPjosQMPtYDuk240spePwoZRCR6JYit5hXyOsxrdV2w5oTMN8rPtFg/8DCMGXx0hnq&#10;kUVGvoH6DcooDi44GRfcmcpJqbjIGlDNsv5FzVPPvMha0JzgZ5vC/4PlH84HIKrDt1tTYpnBN3qK&#10;wNSpj2TnrEUHHRA8RKcGHxps2NkDTFHwB0iyRwmGSK38VwTKRqA0MmafL7PPYoyEY3L9ZnWHj0cJ&#10;x7PlaoVbxKsKTILzEOI74QxJm5ZqZZMNrGHn9yGW0mtJSmtLhpa+vl8iUIqD06rbK61zAKfjTgM5&#10;MxyBt7f73X5VsLTvWcmu7+qZQijlmc4zHCSnLSaTBUV03sWLFoXBJyHRRhRX5OcBFvO9jHNh43KS&#10;qS1WpzaJHOfGiXua/D81TvWpVeTh/pvmuSPf7Gycm42yDopzP98exytlWeqvDhTdyYKj6y55HLI1&#10;OKXZuelHpW/wPM7tP/799jsAAAD//wMAUEsDBBQABgAIAAAAIQBC4v2w2wAAAAQBAAAPAAAAZHJz&#10;L2Rvd25yZXYueG1sTI/dSsQwFITvBd8hHME7N13FUmtPF13wDwRx1wdIm2NTTE5Kk227Pr3xSi+H&#10;GWa+qTaLs2KiMfSeEdarDARx63XPHcLH/uGiABGiYq2sZ0I4UoBNfXpSqVL7md9p2sVOpBIOpUIw&#10;MQ6llKE15FRY+YE4eZ9+dComOXZSj2pO5c7KyyzLpVM9pwWjBtoaar92B4fgnpbvt8fX9f7FTs29&#10;jNNxfjZbxPOz5e4WRKQl/oXhFz+hQ52YGn9gHYRFSEciQn4NIpk3V3kOokEoCpB1Jf/D1z8AAAD/&#10;/wMAUEsBAi0AFAAGAAgAAAAhALaDOJL+AAAA4QEAABMAAAAAAAAAAAAAAAAAAAAAAFtDb250ZW50&#10;X1R5cGVzXS54bWxQSwECLQAUAAYACAAAACEAOP0h/9YAAACUAQAACwAAAAAAAAAAAAAAAAAvAQAA&#10;X3JlbHMvLnJlbHNQSwECLQAUAAYACAAAACEA9YZvn/kBAAA/BAAADgAAAAAAAAAAAAAAAAAuAgAA&#10;ZHJzL2Uyb0RvYy54bWxQSwECLQAUAAYACAAAACEAQuL9sNsAAAAEAQAADwAAAAAAAAAAAAAAAABT&#10;BAAAZHJzL2Rvd25yZXYueG1sUEsFBgAAAAAEAAQA8wAAAFsFAAAAAA==&#10;" strokecolor="#b6fcf4" strokeweight="3pt">
              <v:stroke opacity="37265f"/>
            </v:line>
          </w:pict>
        </mc:Fallback>
      </mc:AlternateContent>
    </w:r>
  </w:p>
  <w:p w:rsidR="000155BE" w:rsidRDefault="000155B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35" o:spid="_x0000_s6160" type="#_x0000_t136" style="position:absolute;margin-left:0;margin-top:0;width:412.4pt;height:247.45pt;rotation:315;z-index:-251601920;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39" o:spid="_x0000_s6164" type="#_x0000_t136" style="position:absolute;margin-left:0;margin-top:0;width:412.4pt;height:247.45pt;rotation:315;z-index:-251593728;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Pr="0002467F" w:rsidRDefault="00481858">
    <w:pPr>
      <w:pStyle w:val="Header"/>
      <w:rPr>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40" o:spid="_x0000_s6165" type="#_x0000_t136" style="position:absolute;margin-left:0;margin-top:0;width:412.4pt;height:247.45pt;rotation:315;z-index:-251591680;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r w:rsidR="000155BE">
      <w:rPr>
        <w:b/>
        <w:sz w:val="28"/>
        <w:szCs w:val="28"/>
      </w:rPr>
      <w:t>Infrastructure</w:t>
    </w:r>
  </w:p>
  <w:p w:rsidR="000155BE" w:rsidRDefault="000155BE">
    <w:pPr>
      <w:pStyle w:val="Header"/>
    </w:pPr>
    <w:r>
      <w:rPr>
        <w:noProof/>
      </w:rPr>
      <mc:AlternateContent>
        <mc:Choice Requires="wps">
          <w:drawing>
            <wp:anchor distT="0" distB="0" distL="114300" distR="114300" simplePos="0" relativeHeight="251673600" behindDoc="0" locked="0" layoutInCell="1" allowOverlap="1" wp14:anchorId="63ECF130" wp14:editId="13EDA70A">
              <wp:simplePos x="0" y="0"/>
              <wp:positionH relativeFrom="column">
                <wp:posOffset>0</wp:posOffset>
              </wp:positionH>
              <wp:positionV relativeFrom="paragraph">
                <wp:posOffset>41585</wp:posOffset>
              </wp:positionV>
              <wp:extent cx="5947200" cy="14400"/>
              <wp:effectExtent l="19050" t="19050" r="15875" b="24130"/>
              <wp:wrapNone/>
              <wp:docPr id="18" name="Straight Connector 18"/>
              <wp:cNvGraphicFramePr/>
              <a:graphic xmlns:a="http://schemas.openxmlformats.org/drawingml/2006/main">
                <a:graphicData uri="http://schemas.microsoft.com/office/word/2010/wordprocessingShape">
                  <wps:wsp>
                    <wps:cNvCnPr/>
                    <wps:spPr>
                      <a:xfrm flipV="1">
                        <a:off x="0" y="0"/>
                        <a:ext cx="5947200" cy="14400"/>
                      </a:xfrm>
                      <a:prstGeom prst="line">
                        <a:avLst/>
                      </a:prstGeom>
                      <a:ln w="38100">
                        <a:solidFill>
                          <a:srgbClr val="B6FCF4">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0,3.25pt" to="468.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ss+AEAAD8EAAAOAAAAZHJzL2Uyb0RvYy54bWysU02P0zAQvSPxHyzfadKl+xU1XYmuygVB&#10;xbLcXcduLPlLY9Ok/56xnYYFxAHExfKMZ57fex6vH0ajyUlAUM62dLmoKRGWu07ZY0ufv+ze3FES&#10;IrMd086Klp5FoA+b16/Wg2/Eleud7gQQBLGhGXxL+xh9U1WB98KwsHBeWDyUDgyLGMKx6oANiG50&#10;dVXXN9XgoPPguAgBs4/lkG4yvpSCx09SBhGJbilyi3mFvB7SWm3WrDkC873iEw32DywMUxYvnaEe&#10;WWTkG6jfoIzi4IKTccGdqZyUiousAdUs61/UPPXMi6wFzQl+tin8P1j+8bQHojp8O3wpywy+0VME&#10;po59JFtnLTrogOAhOjX40GDD1u5hioLfQ5I9SjBEauW/IlA2AqWRMft8nn0WYyQck9f3q1t8PEo4&#10;ni1XK9wiXlVgEpyHEN8LZ0jatFQrm2xgDTt9CLGUXkpSWlsytPTt3RKBUhycVt1OaZ0DOB62GsiJ&#10;4Qi8u9ltd6uCpX3PSvb6tp4phFKe6bzAQXLaYjJZUETnXTxrURh8FhJtRHFFfh5gMd/LOBc2LieZ&#10;2mJ1apPIcW6cuKfJ/1PjVJ9aRR7uv2meO/LNzsa52SjroDj38+1xvFCWpf7iQNGdLDi47pzHIVuD&#10;U5qdm35U+gYv49z+499vvgMAAP//AwBQSwMEFAAGAAgAAAAhAELi/bDbAAAABAEAAA8AAABkcnMv&#10;ZG93bnJldi54bWxMj91KxDAUhO8F3yEcwTs3XcVSa08XXfAPBHHXB0ibY1NMTkqTbbs+vfFKL4cZ&#10;Zr6pNouzYqIx9J4R1qsMBHHrdc8dwsf+4aIAEaJiraxnQjhSgE19elKpUvuZ32naxU6kEg6lQjAx&#10;DqWUoTXkVFj5gTh5n350KiY5dlKPak7lzsrLLMulUz2nBaMG2hpqv3YHh+Celu+3x9f1/sVOzb2M&#10;03F+NlvE87Pl7hZEpCX+heEXP6FDnZgaf2AdhEVIRyJCfg0imTdXeQ6iQSgKkHUl/8PXPwAAAP//&#10;AwBQSwECLQAUAAYACAAAACEAtoM4kv4AAADhAQAAEwAAAAAAAAAAAAAAAAAAAAAAW0NvbnRlbnRf&#10;VHlwZXNdLnhtbFBLAQItABQABgAIAAAAIQA4/SH/1gAAAJQBAAALAAAAAAAAAAAAAAAAAC8BAABf&#10;cmVscy8ucmVsc1BLAQItABQABgAIAAAAIQAVHNss+AEAAD8EAAAOAAAAAAAAAAAAAAAAAC4CAABk&#10;cnMvZTJvRG9jLnhtbFBLAQItABQABgAIAAAAIQBC4v2w2wAAAAQBAAAPAAAAAAAAAAAAAAAAAFIE&#10;AABkcnMvZG93bnJldi54bWxQSwUGAAAAAAQABADzAAAAWgUAAAAA&#10;" strokecolor="#b6fcf4" strokeweight="3pt">
              <v:stroke opacity="37265f"/>
            </v:line>
          </w:pict>
        </mc:Fallback>
      </mc:AlternateContent>
    </w:r>
  </w:p>
  <w:p w:rsidR="000155BE" w:rsidRDefault="000155B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38" o:spid="_x0000_s6163" type="#_x0000_t136" style="position:absolute;margin-left:0;margin-top:0;width:412.4pt;height:247.45pt;rotation:315;z-index:-251595776;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25" o:spid="_x0000_s6150" type="#_x0000_t136" style="position:absolute;margin-left:0;margin-top:0;width:412.4pt;height:247.45pt;rotation:315;z-index:-251622400;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42" o:spid="_x0000_s6167" type="#_x0000_t136" style="position:absolute;margin-left:0;margin-top:0;width:412.4pt;height:247.45pt;rotation:315;z-index:-251587584;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Pr="0002467F" w:rsidRDefault="00481858">
    <w:pPr>
      <w:pStyle w:val="Header"/>
      <w:rPr>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43" o:spid="_x0000_s6168" type="#_x0000_t136" style="position:absolute;margin-left:0;margin-top:0;width:412.4pt;height:247.45pt;rotation:315;z-index:-251585536;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r w:rsidR="000155BE">
      <w:rPr>
        <w:b/>
        <w:sz w:val="28"/>
        <w:szCs w:val="28"/>
      </w:rPr>
      <w:t>Capital</w:t>
    </w:r>
  </w:p>
  <w:p w:rsidR="000155BE" w:rsidRDefault="000155BE">
    <w:pPr>
      <w:pStyle w:val="Header"/>
    </w:pPr>
    <w:r>
      <w:rPr>
        <w:noProof/>
      </w:rPr>
      <mc:AlternateContent>
        <mc:Choice Requires="wps">
          <w:drawing>
            <wp:anchor distT="0" distB="0" distL="114300" distR="114300" simplePos="0" relativeHeight="251675648" behindDoc="0" locked="0" layoutInCell="1" allowOverlap="1" wp14:anchorId="30648313" wp14:editId="1B052FE5">
              <wp:simplePos x="0" y="0"/>
              <wp:positionH relativeFrom="column">
                <wp:posOffset>0</wp:posOffset>
              </wp:positionH>
              <wp:positionV relativeFrom="paragraph">
                <wp:posOffset>41585</wp:posOffset>
              </wp:positionV>
              <wp:extent cx="5947200" cy="14400"/>
              <wp:effectExtent l="19050" t="19050" r="15875" b="24130"/>
              <wp:wrapNone/>
              <wp:docPr id="22" name="Straight Connector 22"/>
              <wp:cNvGraphicFramePr/>
              <a:graphic xmlns:a="http://schemas.openxmlformats.org/drawingml/2006/main">
                <a:graphicData uri="http://schemas.microsoft.com/office/word/2010/wordprocessingShape">
                  <wps:wsp>
                    <wps:cNvCnPr/>
                    <wps:spPr>
                      <a:xfrm flipV="1">
                        <a:off x="0" y="0"/>
                        <a:ext cx="5947200" cy="14400"/>
                      </a:xfrm>
                      <a:prstGeom prst="line">
                        <a:avLst/>
                      </a:prstGeom>
                      <a:ln w="38100">
                        <a:solidFill>
                          <a:srgbClr val="B6FCF4">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0,3.25pt" to="468.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A8F+QEAAD8EAAAOAAAAZHJzL2Uyb0RvYy54bWysU02P0zAQvSPxHyzfadLS/SBquhJdlQuC&#10;igXurmM3lvylsWnSf8/YTsMC4gDiYnnGM8/vPY83D6PR5CwgKGdbulzUlAjLXafsqaVfPu9f3VMS&#10;IrMd086Kll5EoA/bly82g2/EyvVOdwIIgtjQDL6lfYy+qarAe2FYWDgvLB5KB4ZFDOFUdcAGRDe6&#10;WtX1bTU46Dw4LkLA7GM5pNuML6Xg8aOUQUSiW4rcYl4hr8e0VtsNa07AfK/4RIP9AwvDlMVLZ6hH&#10;Fhn5Buo3KKM4uOBkXHBnKiel4iJrQDXL+hc1Tz3zImtBc4KfbQr/D5Z/OB+AqK6lqxUllhl8o6cI&#10;TJ36SHbOWnTQAcFDdGrwocGGnT3AFAV/gCR7lGCI1Mp/xSHIRqA0MmafL7PPYoyEY/LmzfoOH48S&#10;jmfL9Rq3iFcVmATnIcR3whmSNi3VyiYbWMPO70MspdeSlNaWDC19fb9EoBQHp1W3V1rnAE7HnQZy&#10;ZjgCb2/3u/26YGnfs5K9uatnCqGUZzrPcJCctphMFhTReRcvWhQGn4REG1FckZ8HWMz3Ms6FjctJ&#10;prZYndokcpwbJ+5p8v/UONWnVpGH+2+a5458s7NxbjbKOijO/Xx7HK+UZam/OlB0JwuOrrvkccjW&#10;4JRm56Yflb7B8zi3//j32+8AAAD//wMAUEsDBBQABgAIAAAAIQBC4v2w2wAAAAQBAAAPAAAAZHJz&#10;L2Rvd25yZXYueG1sTI/dSsQwFITvBd8hHME7N13FUmtPF13wDwRx1wdIm2NTTE5Kk227Pr3xSi+H&#10;GWa+qTaLs2KiMfSeEdarDARx63XPHcLH/uGiABGiYq2sZ0I4UoBNfXpSqVL7md9p2sVOpBIOpUIw&#10;MQ6llKE15FRY+YE4eZ9+dComOXZSj2pO5c7KyyzLpVM9pwWjBtoaar92B4fgnpbvt8fX9f7FTs29&#10;jNNxfjZbxPOz5e4WRKQl/oXhFz+hQ52YGn9gHYRFSEciQn4NIpk3V3kOokEoCpB1Jf/D1z8AAAD/&#10;/wMAUEsBAi0AFAAGAAgAAAAhALaDOJL+AAAA4QEAABMAAAAAAAAAAAAAAAAAAAAAAFtDb250ZW50&#10;X1R5cGVzXS54bWxQSwECLQAUAAYACAAAACEAOP0h/9YAAACUAQAACwAAAAAAAAAAAAAAAAAvAQAA&#10;X3JlbHMvLnJlbHNQSwECLQAUAAYACAAAACEA9fQPBfkBAAA/BAAADgAAAAAAAAAAAAAAAAAuAgAA&#10;ZHJzL2Uyb0RvYy54bWxQSwECLQAUAAYACAAAACEAQuL9sNsAAAAEAQAADwAAAAAAAAAAAAAAAABT&#10;BAAAZHJzL2Rvd25yZXYueG1sUEsFBgAAAAAEAAQA8wAAAFsFAAAAAA==&#10;" strokecolor="#b6fcf4" strokeweight="3pt">
              <v:stroke opacity="37265f"/>
            </v:line>
          </w:pict>
        </mc:Fallback>
      </mc:AlternateContent>
    </w:r>
  </w:p>
  <w:p w:rsidR="000155BE" w:rsidRDefault="000155B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41" o:spid="_x0000_s6166" type="#_x0000_t136" style="position:absolute;margin-left:0;margin-top:0;width:412.4pt;height:247.45pt;rotation:315;z-index:-251589632;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45" o:spid="_x0000_s6170" type="#_x0000_t136" style="position:absolute;margin-left:0;margin-top:0;width:412.4pt;height:247.45pt;rotation:315;z-index:-251581440;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Pr="0002467F" w:rsidRDefault="00481858">
    <w:pPr>
      <w:pStyle w:val="Header"/>
      <w:rPr>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46" o:spid="_x0000_s6171" type="#_x0000_t136" style="position:absolute;margin-left:0;margin-top:0;width:412.4pt;height:247.45pt;rotation:315;z-index:-251579392;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r w:rsidR="000155BE">
      <w:rPr>
        <w:b/>
        <w:sz w:val="28"/>
        <w:szCs w:val="28"/>
      </w:rPr>
      <w:t>Current Project Highlights</w:t>
    </w:r>
  </w:p>
  <w:p w:rsidR="000155BE" w:rsidRDefault="000155BE">
    <w:pPr>
      <w:pStyle w:val="Header"/>
    </w:pPr>
    <w:r>
      <w:rPr>
        <w:noProof/>
      </w:rPr>
      <mc:AlternateContent>
        <mc:Choice Requires="wps">
          <w:drawing>
            <wp:anchor distT="0" distB="0" distL="114300" distR="114300" simplePos="0" relativeHeight="251677696" behindDoc="0" locked="0" layoutInCell="1" allowOverlap="1" wp14:anchorId="4691D5C8" wp14:editId="63C342C7">
              <wp:simplePos x="0" y="0"/>
              <wp:positionH relativeFrom="column">
                <wp:posOffset>0</wp:posOffset>
              </wp:positionH>
              <wp:positionV relativeFrom="paragraph">
                <wp:posOffset>41585</wp:posOffset>
              </wp:positionV>
              <wp:extent cx="5947200" cy="14400"/>
              <wp:effectExtent l="19050" t="19050" r="15875" b="24130"/>
              <wp:wrapNone/>
              <wp:docPr id="23" name="Straight Connector 23"/>
              <wp:cNvGraphicFramePr/>
              <a:graphic xmlns:a="http://schemas.openxmlformats.org/drawingml/2006/main">
                <a:graphicData uri="http://schemas.microsoft.com/office/word/2010/wordprocessingShape">
                  <wps:wsp>
                    <wps:cNvCnPr/>
                    <wps:spPr>
                      <a:xfrm flipV="1">
                        <a:off x="0" y="0"/>
                        <a:ext cx="5947200" cy="14400"/>
                      </a:xfrm>
                      <a:prstGeom prst="line">
                        <a:avLst/>
                      </a:prstGeom>
                      <a:ln w="38100">
                        <a:solidFill>
                          <a:srgbClr val="B6FCF4">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3.25pt" to="468.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HP+gEAAD8EAAAOAAAAZHJzL2Uyb0RvYy54bWysU02P0zAQvSPxHyzfaZpu9ytquhJdlQuC&#10;ahe4u47dWPKXxqZp/z1jOw0LiMMiLpZnPPP83vN49XAymhwFBOVsS+vZnBJhueuUPbT065ftuztK&#10;QmS2Y9pZ0dKzCPRh/fbNavCNWLje6U4AQRAbmsG3tI/RN1UVeC8MCzPnhcVD6cCwiCEcqg7YgOhG&#10;V4v5/KYaHHQeHBchYPaxHNJ1xpdS8PhZyiAi0S1FbjGvkNd9Wqv1ijUHYL5XfKTB/oGFYcripRPU&#10;I4uMfAf1B5RRHFxwMs64M5WTUnGRNaCaev6bmueeeZG1oDnBTzaF/wfLPx13QFTX0sUVJZYZfKPn&#10;CEwd+kg2zlp00AHBQ3Rq8KHBho3dwRgFv4Mk+yTBEKmV/4ZDkI1AaeSUfT5PPotTJByT1/fLW3w8&#10;Sjie1cslbhGvKjAJzkOIH4QzJG1aqpVNNrCGHT+GWEovJSmtLRlaenVXI1CKg9Oq2yqtcwCH/UYD&#10;OTIcgfc32812WbC071nJXt/OJwqhlGc6L3CQnLaYTBYU0XkXz1oUBk9Coo0orsjPAyymexnnwsZ6&#10;lKktVqc2iRynxpF7mvy/NY71qVXk4X5N89SRb3Y2Ts1GWQfFuV9vj6cLZVnqLw4U3cmCvevOeRyy&#10;NTil2bnxR6Vv8DLO7T///foHAAAA//8DAFBLAwQUAAYACAAAACEAQuL9sNsAAAAEAQAADwAAAGRy&#10;cy9kb3ducmV2LnhtbEyP3UrEMBSE7wXfIRzBOzddxVJrTxdd8A8EcdcHSJtjU0xOSpNtuz698Uov&#10;hxlmvqk2i7NiojH0nhHWqwwEcet1zx3Cx/7hogARomKtrGdCOFKATX16UqlS+5nfadrFTqQSDqVC&#10;MDEOpZShNeRUWPmBOHmffnQqJjl2Uo9qTuXOysssy6VTPacFowbaGmq/dgeH4J6W77fH1/X+xU7N&#10;vYzTcX42W8Tzs+XuFkSkJf6F4Rc/oUOdmBp/YB2ERUhHIkJ+DSKZN1d5DqJBKAqQdSX/w9c/AAAA&#10;//8DAFBLAQItABQABgAIAAAAIQC2gziS/gAAAOEBAAATAAAAAAAAAAAAAAAAAAAAAABbQ29udGVu&#10;dF9UeXBlc10ueG1sUEsBAi0AFAAGAAgAAAAhADj9If/WAAAAlAEAAAsAAAAAAAAAAAAAAAAALwEA&#10;AF9yZWxzLy5yZWxzUEsBAi0AFAAGAAgAAAAhAIY7Ic/6AQAAPwQAAA4AAAAAAAAAAAAAAAAALgIA&#10;AGRycy9lMm9Eb2MueG1sUEsBAi0AFAAGAAgAAAAhAELi/bDbAAAABAEAAA8AAAAAAAAAAAAAAAAA&#10;VAQAAGRycy9kb3ducmV2LnhtbFBLBQYAAAAABAAEAPMAAABcBQAAAAA=&#10;" strokecolor="#b6fcf4" strokeweight="3pt">
              <v:stroke opacity="37265f"/>
            </v:line>
          </w:pict>
        </mc:Fallback>
      </mc:AlternateContent>
    </w:r>
  </w:p>
  <w:p w:rsidR="000155BE" w:rsidRDefault="000155B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44" o:spid="_x0000_s6169" type="#_x0000_t136" style="position:absolute;margin-left:0;margin-top:0;width:412.4pt;height:247.45pt;rotation:315;z-index:-251583488;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48" o:spid="_x0000_s6173" type="#_x0000_t136" style="position:absolute;margin-left:0;margin-top:0;width:412.4pt;height:247.45pt;rotation:315;z-index:-251575296;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Pr="0002467F" w:rsidRDefault="00481858">
    <w:pPr>
      <w:pStyle w:val="Header"/>
      <w:rPr>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49" o:spid="_x0000_s6174" type="#_x0000_t136" style="position:absolute;margin-left:0;margin-top:0;width:412.4pt;height:247.45pt;rotation:315;z-index:-251573248;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r w:rsidR="000155BE">
      <w:rPr>
        <w:b/>
        <w:sz w:val="28"/>
        <w:szCs w:val="28"/>
      </w:rPr>
      <w:t>SWOC</w:t>
    </w:r>
  </w:p>
  <w:p w:rsidR="000155BE" w:rsidRDefault="000155BE">
    <w:pPr>
      <w:pStyle w:val="Header"/>
    </w:pPr>
    <w:r>
      <w:rPr>
        <w:noProof/>
      </w:rPr>
      <mc:AlternateContent>
        <mc:Choice Requires="wps">
          <w:drawing>
            <wp:anchor distT="0" distB="0" distL="114300" distR="114300" simplePos="0" relativeHeight="251679744" behindDoc="0" locked="0" layoutInCell="1" allowOverlap="1" wp14:anchorId="151EA0BE" wp14:editId="530943CF">
              <wp:simplePos x="0" y="0"/>
              <wp:positionH relativeFrom="column">
                <wp:posOffset>0</wp:posOffset>
              </wp:positionH>
              <wp:positionV relativeFrom="paragraph">
                <wp:posOffset>41585</wp:posOffset>
              </wp:positionV>
              <wp:extent cx="5947200" cy="14400"/>
              <wp:effectExtent l="19050" t="19050" r="15875" b="24130"/>
              <wp:wrapNone/>
              <wp:docPr id="24" name="Straight Connector 24"/>
              <wp:cNvGraphicFramePr/>
              <a:graphic xmlns:a="http://schemas.openxmlformats.org/drawingml/2006/main">
                <a:graphicData uri="http://schemas.microsoft.com/office/word/2010/wordprocessingShape">
                  <wps:wsp>
                    <wps:cNvCnPr/>
                    <wps:spPr>
                      <a:xfrm flipV="1">
                        <a:off x="0" y="0"/>
                        <a:ext cx="5947200" cy="14400"/>
                      </a:xfrm>
                      <a:prstGeom prst="line">
                        <a:avLst/>
                      </a:prstGeom>
                      <a:ln w="38100">
                        <a:solidFill>
                          <a:srgbClr val="B6FCF4">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0,3.25pt" to="468.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rU+QEAAD8EAAAOAAAAZHJzL2Uyb0RvYy54bWysU02P0zAQvSPxHyzfadKS/SBquhJdlQuC&#10;igXurmM3lvylsWnaf8/YTsMC4gDiYnnGM8/vPY/XD2ejyUlAUM52dLmoKRGWu17ZY0e/fN69uqck&#10;RGZ7pp0VHb2IQB82L1+sR9+KlRuc7gUQBLGhHX1Hhxh9W1WBD8KwsHBeWDyUDgyLGMKx6oGNiG50&#10;tarr22p00HtwXISA2cdySDcZX0rB40cpg4hEdxS5xbxCXg9prTZr1h6B+UHxiQb7BxaGKYuXzlCP&#10;LDLyDdRvUEZxcMHJuODOVE5KxUXWgGqW9S9qngbmRdaC5gQ/2xT+Hyz/cNoDUX1HVw0llhl8o6cI&#10;TB2HSLbOWnTQAcFDdGr0ocWGrd3DFAW/hyT7LMEQqZX/ikOQjUBp5Jx9vsw+i3MkHJM3b5o7fDxK&#10;OJ4tmwa3iFcVmATnIcR3whmSNh3VyiYbWMtO70MspdeSlNaWjB19fb9EoBQHp1W/U1rnAI6HrQZy&#10;YjgCb293211TsLQfWMne3NUzhVDKM51nOEhOW0wmC4rovIsXLQqDT0KijSiuyM8DLOZ7GefCxuUk&#10;U1usTm0SOc6NE/c0+X9qnOpTq8jD/TfNc0e+2dk4NxtlHRTnfr49nq+UZam/OlB0JwsOrr/kccjW&#10;4JRm56Yflb7B8zi3//j3m+8AAAD//wMAUEsDBBQABgAIAAAAIQBC4v2w2wAAAAQBAAAPAAAAZHJz&#10;L2Rvd25yZXYueG1sTI/dSsQwFITvBd8hHME7N13FUmtPF13wDwRx1wdIm2NTTE5Kk227Pr3xSi+H&#10;GWa+qTaLs2KiMfSeEdarDARx63XPHcLH/uGiABGiYq2sZ0I4UoBNfXpSqVL7md9p2sVOpBIOpUIw&#10;MQ6llKE15FRY+YE4eZ9+dComOXZSj2pO5c7KyyzLpVM9pwWjBtoaar92B4fgnpbvt8fX9f7FTs29&#10;jNNxfjZbxPOz5e4WRKQl/oXhFz+hQ52YGn9gHYRFSEciQn4NIpk3V3kOokEoCpB1Jf/D1z8AAAD/&#10;/wMAUEsBAi0AFAAGAAgAAAAhALaDOJL+AAAA4QEAABMAAAAAAAAAAAAAAAAAAAAAAFtDb250ZW50&#10;X1R5cGVzXS54bWxQSwECLQAUAAYACAAAACEAOP0h/9YAAACUAQAACwAAAAAAAAAAAAAAAAAvAQAA&#10;X3JlbHMvLnJlbHNQSwECLQAUAAYACAAAACEAHF161PkBAAA/BAAADgAAAAAAAAAAAAAAAAAuAgAA&#10;ZHJzL2Uyb0RvYy54bWxQSwECLQAUAAYACAAAACEAQuL9sNsAAAAEAQAADwAAAAAAAAAAAAAAAABT&#10;BAAAZHJzL2Rvd25yZXYueG1sUEsFBgAAAAAEAAQA8wAAAFsFAAAAAA==&#10;" strokecolor="#b6fcf4" strokeweight="3pt">
              <v:stroke opacity="37265f"/>
            </v:line>
          </w:pict>
        </mc:Fallback>
      </mc:AlternateContent>
    </w:r>
  </w:p>
  <w:p w:rsidR="000155BE" w:rsidRDefault="000155B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47" o:spid="_x0000_s6172" type="#_x0000_t136" style="position:absolute;margin-left:0;margin-top:0;width:412.4pt;height:247.45pt;rotation:315;z-index:-251577344;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51" o:spid="_x0000_s6176" type="#_x0000_t136" style="position:absolute;margin-left:0;margin-top:0;width:412.4pt;height:247.45pt;rotation:315;z-index:-251569152;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23" o:spid="_x0000_s6148" type="#_x0000_t136" style="position:absolute;margin-left:0;margin-top:0;width:412.4pt;height:247.45pt;rotation:315;z-index:-251626496;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Pr="0002467F" w:rsidRDefault="00481858">
    <w:pPr>
      <w:pStyle w:val="Header"/>
      <w:rPr>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52" o:spid="_x0000_s6177" type="#_x0000_t136" style="position:absolute;margin-left:0;margin-top:0;width:412.4pt;height:247.45pt;rotation:315;z-index:-251567104;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r w:rsidR="000155BE">
      <w:rPr>
        <w:b/>
        <w:sz w:val="28"/>
        <w:szCs w:val="28"/>
      </w:rPr>
      <w:t>Strategic Focus Areas</w:t>
    </w:r>
  </w:p>
  <w:p w:rsidR="000155BE" w:rsidRDefault="000155BE">
    <w:pPr>
      <w:pStyle w:val="Header"/>
    </w:pPr>
    <w:r>
      <w:rPr>
        <w:noProof/>
      </w:rPr>
      <mc:AlternateContent>
        <mc:Choice Requires="wps">
          <w:drawing>
            <wp:anchor distT="0" distB="0" distL="114300" distR="114300" simplePos="0" relativeHeight="251681792" behindDoc="0" locked="0" layoutInCell="1" allowOverlap="1" wp14:anchorId="41E83A71" wp14:editId="0516C5D7">
              <wp:simplePos x="0" y="0"/>
              <wp:positionH relativeFrom="column">
                <wp:posOffset>0</wp:posOffset>
              </wp:positionH>
              <wp:positionV relativeFrom="paragraph">
                <wp:posOffset>41585</wp:posOffset>
              </wp:positionV>
              <wp:extent cx="5947200" cy="14400"/>
              <wp:effectExtent l="19050" t="19050" r="15875" b="24130"/>
              <wp:wrapNone/>
              <wp:docPr id="25" name="Straight Connector 25"/>
              <wp:cNvGraphicFramePr/>
              <a:graphic xmlns:a="http://schemas.openxmlformats.org/drawingml/2006/main">
                <a:graphicData uri="http://schemas.microsoft.com/office/word/2010/wordprocessingShape">
                  <wps:wsp>
                    <wps:cNvCnPr/>
                    <wps:spPr>
                      <a:xfrm flipV="1">
                        <a:off x="0" y="0"/>
                        <a:ext cx="5947200" cy="14400"/>
                      </a:xfrm>
                      <a:prstGeom prst="line">
                        <a:avLst/>
                      </a:prstGeom>
                      <a:ln w="38100">
                        <a:solidFill>
                          <a:srgbClr val="B6FCF4">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0,3.25pt" to="468.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Qe+QEAAD8EAAAOAAAAZHJzL2Uyb0RvYy54bWysU02P0zAQvSPxHyzfaZrS7kfUdCW6KhcE&#10;Fctydx27seQvjU3T/nvGdhoWEAcQF8sznnl+73m8fjgbTU4CgnK2pfVsTomw3HXKHlv6/GX35o6S&#10;EJntmHZWtPQiAn3YvH61HnwjFq53uhNAEMSGZvAt7WP0TVUF3gvDwsx5YfFQOjAsYgjHqgM2ILrR&#10;1WI+v6kGB50Hx0UImH0sh3ST8aUUPH6SMohIdEuRW8wr5PWQ1mqzZs0RmO8VH2mwf2BhmLJ46QT1&#10;yCIj30D9BmUUBxecjDPuTOWkVFxkDaimnv+i5qlnXmQtaE7wk03h/8Hyj6c9ENW1dLGixDKDb/QU&#10;galjH8nWWYsOOiB4iE4NPjTYsLV7GKPg95BknyUYIrXyX3EIshEojZyzz5fJZ3GOhGNydb+8xcej&#10;hONZvVziFvGqApPgPIT4XjhD0qalWtlkA2vY6UOIpfRaktLakqGlb+9qBEpxcFp1O6V1DuB42Gog&#10;J4Yj8O5mt90tC5b2PSvZ1e18ohBKeabzAgfJaYvJZEERnXfxokVh8FlItBHFFfl5gMV0L+Nc2FiP&#10;MrXF6tQmkePUOHJPk/+nxrE+tYo83H/TPHXkm52NU7NR1kFx7ufb4/lKWZb6qwNFd7Lg4LpLHods&#10;DU5pdm78UekbvIxz+49/v/kOAAD//wMAUEsDBBQABgAIAAAAIQBC4v2w2wAAAAQBAAAPAAAAZHJz&#10;L2Rvd25yZXYueG1sTI/dSsQwFITvBd8hHME7N13FUmtPF13wDwRx1wdIm2NTTE5Kk227Pr3xSi+H&#10;GWa+qTaLs2KiMfSeEdarDARx63XPHcLH/uGiABGiYq2sZ0I4UoBNfXpSqVL7md9p2sVOpBIOpUIw&#10;MQ6llKE15FRY+YE4eZ9+dComOXZSj2pO5c7KyyzLpVM9pwWjBtoaar92B4fgnpbvt8fX9f7FTs29&#10;jNNxfjZbxPOz5e4WRKQl/oXhFz+hQ52YGn9gHYRFSEciQn4NIpk3V3kOokEoCpB1Jf/D1z8AAAD/&#10;/wMAUEsBAi0AFAAGAAgAAAAhALaDOJL+AAAA4QEAABMAAAAAAAAAAAAAAAAAAAAAAFtDb250ZW50&#10;X1R5cGVzXS54bWxQSwECLQAUAAYACAAAACEAOP0h/9YAAACUAQAACwAAAAAAAAAAAAAAAAAvAQAA&#10;X3JlbHMvLnJlbHNQSwECLQAUAAYACAAAACEAb5JUHvkBAAA/BAAADgAAAAAAAAAAAAAAAAAuAgAA&#10;ZHJzL2Uyb0RvYy54bWxQSwECLQAUAAYACAAAACEAQuL9sNsAAAAEAQAADwAAAAAAAAAAAAAAAABT&#10;BAAAZHJzL2Rvd25yZXYueG1sUEsFBgAAAAAEAAQA8wAAAFsFAAAAAA==&#10;" strokecolor="#b6fcf4" strokeweight="3pt">
              <v:stroke opacity="37265f"/>
            </v:line>
          </w:pict>
        </mc:Fallback>
      </mc:AlternateContent>
    </w:r>
  </w:p>
  <w:p w:rsidR="000155BE" w:rsidRDefault="000155B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50" o:spid="_x0000_s6175" type="#_x0000_t136" style="position:absolute;margin-left:0;margin-top:0;width:412.4pt;height:247.45pt;rotation:315;z-index:-251571200;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3BE" w:rsidRPr="001B43BE" w:rsidRDefault="001B43BE">
    <w:pPr>
      <w:pStyle w:val="Header"/>
      <w:rPr>
        <w:sz w:val="28"/>
        <w:szCs w:val="28"/>
      </w:rPr>
    </w:pPr>
    <w:r>
      <w:rPr>
        <w:noProof/>
      </w:rPr>
      <mc:AlternateContent>
        <mc:Choice Requires="wps">
          <w:drawing>
            <wp:anchor distT="0" distB="0" distL="114300" distR="114300" simplePos="0" relativeHeight="251753472" behindDoc="0" locked="0" layoutInCell="1" allowOverlap="1" wp14:anchorId="7AB3C15F" wp14:editId="5D0E5238">
              <wp:simplePos x="0" y="0"/>
              <wp:positionH relativeFrom="column">
                <wp:posOffset>-6350</wp:posOffset>
              </wp:positionH>
              <wp:positionV relativeFrom="paragraph">
                <wp:posOffset>208915</wp:posOffset>
              </wp:positionV>
              <wp:extent cx="5946775" cy="13970"/>
              <wp:effectExtent l="19050" t="19050" r="15875" b="24130"/>
              <wp:wrapNone/>
              <wp:docPr id="26" name="Straight Connector 26"/>
              <wp:cNvGraphicFramePr/>
              <a:graphic xmlns:a="http://schemas.openxmlformats.org/drawingml/2006/main">
                <a:graphicData uri="http://schemas.microsoft.com/office/word/2010/wordprocessingShape">
                  <wps:wsp>
                    <wps:cNvCnPr/>
                    <wps:spPr>
                      <a:xfrm flipV="1">
                        <a:off x="0" y="0"/>
                        <a:ext cx="5946775" cy="13970"/>
                      </a:xfrm>
                      <a:prstGeom prst="line">
                        <a:avLst/>
                      </a:prstGeom>
                      <a:ln w="38100">
                        <a:solidFill>
                          <a:srgbClr val="B6FCF4">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5pt,16.45pt" to="467.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C/gEAAD8EAAAOAAAAZHJzL2Uyb0RvYy54bWysU02P0zAQvSPxHyzfadLutt2Nmq5EV+WC&#10;YMUCd9exG0v+0tg07b9nbKdhAXEAcbHimXlv5r2MNw9no8lJQFDOtnQ+qykRlrtO2WNLv3zev7mj&#10;JERmO6adFS29iEAftq9fbQbfiIXrne4EECSxoRl8S/sYfVNVgffCsDBzXlhMSgeGRbzCseqADchu&#10;dLWo61U1OOg8OC5CwOhjSdJt5pdS8PhRyiAi0S3F2WI+IZ+HdFbbDWuOwHyv+DgG+4cpDFMWm05U&#10;jywy8g3Ub1RGcXDByTjjzlROSsVF1oBq5vUvap575kXWguYEP9kU/h8t/3B6AqK6li5WlFhm8B89&#10;R2Dq2Eeyc9aigw4IJtGpwYcGATv7BOMt+CdIss8SDJFa+a+4BNkIlEbO2efL5LM4R8IxuLy/Xa3X&#10;S0o45uY39+v8H6pCk+g8hPhOOEPSR0u1sskG1rDT+xCxNZZeS1JYWzK09OZuXte5LDitur3SOiUD&#10;HA87DeTEcAXerva7/W3h0r5nJbpc14gsvGN57vGCBztqi8FkQRGdv+JFizLBJyHRRhRX5OcFFlNf&#10;xrmwcT720BarE0zijBNwnD1t/p+AY32CirzcfwOeELmzs3ECG2UdFOd+7h7P15Flqb86UHQnCw6u&#10;u+R1yNbglmbnxheVnsHLe4b/ePfb7wAAAP//AwBQSwMEFAAGAAgAAAAhAA84LcPfAAAACAEAAA8A&#10;AABkcnMvZG93bnJldi54bWxMj81OwzAQhO9IvIO1SNxaJ62CaIhTQSX+pEqIlgdw4iWOiNdR7CYp&#10;T89yguPsrGa+Kbaz68SIQ2g9KUiXCQik2puWGgUfx8fFLYgQNRndeUIFZwywLS8vCp0bP9E7jofY&#10;CA6hkGsFNsY+lzLUFp0OS98jsffpB6cjy6GRZtATh7tOrpLkRjrdEjdY3ePOYv11ODkF7nn+fnva&#10;p8fXbqweZBzP04vdKXV9Nd/fgYg4x79n+MVndCiZqfInMkF0ChYpT4kK1qsNCPY36ywDUfEhS0GW&#10;hfw/oPwBAAD//wMAUEsBAi0AFAAGAAgAAAAhALaDOJL+AAAA4QEAABMAAAAAAAAAAAAAAAAAAAAA&#10;AFtDb250ZW50X1R5cGVzXS54bWxQSwECLQAUAAYACAAAACEAOP0h/9YAAACUAQAACwAAAAAAAAAA&#10;AAAAAAAvAQAAX3JlbHMvLnJlbHNQSwECLQAUAAYACAAAACEA5wP+Av4BAAA/BAAADgAAAAAAAAAA&#10;AAAAAAAuAgAAZHJzL2Uyb0RvYy54bWxQSwECLQAUAAYACAAAACEADzgtw98AAAAIAQAADwAAAAAA&#10;AAAAAAAAAABYBAAAZHJzL2Rvd25yZXYueG1sUEsFBgAAAAAEAAQA8wAAAGQFAAAAAA==&#10;" strokecolor="#b6fcf4" strokeweight="3pt">
              <v:stroke opacity="37265f"/>
            </v:line>
          </w:pict>
        </mc:Fallback>
      </mc:AlternateContent>
    </w:r>
    <w:r w:rsidRPr="001B43BE">
      <w:rPr>
        <w:sz w:val="28"/>
        <w:szCs w:val="28"/>
      </w:rPr>
      <w:t>Executive Summary</w:t>
    </w:r>
  </w:p>
  <w:p w:rsidR="001B43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78" type="#_x0000_t136" style="position:absolute;margin-left:0;margin-top:0;width:412.4pt;height:247.45pt;rotation:315;z-index:-251565056;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27" o:spid="_x0000_s6152" type="#_x0000_t136" style="position:absolute;margin-left:0;margin-top:0;width:412.4pt;height:247.45pt;rotation:315;z-index:-251618304;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Pr="0002467F" w:rsidRDefault="00481858">
    <w:pPr>
      <w:pStyle w:val="Header"/>
      <w:rPr>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28" o:spid="_x0000_s6153" type="#_x0000_t136" style="position:absolute;margin-left:0;margin-top:0;width:412.4pt;height:247.45pt;rotation:315;z-index:-251616256;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r w:rsidR="000155BE">
      <w:rPr>
        <w:b/>
        <w:sz w:val="28"/>
        <w:szCs w:val="28"/>
      </w:rPr>
      <w:t>Introduction</w:t>
    </w:r>
  </w:p>
  <w:p w:rsidR="000155BE" w:rsidRDefault="000155BE">
    <w:pPr>
      <w:pStyle w:val="Header"/>
    </w:pPr>
    <w:r>
      <w:rPr>
        <w:noProof/>
      </w:rPr>
      <mc:AlternateContent>
        <mc:Choice Requires="wps">
          <w:drawing>
            <wp:anchor distT="0" distB="0" distL="114300" distR="114300" simplePos="0" relativeHeight="251661312" behindDoc="0" locked="0" layoutInCell="1" allowOverlap="1" wp14:anchorId="06EC5DA5" wp14:editId="34D146FA">
              <wp:simplePos x="0" y="0"/>
              <wp:positionH relativeFrom="column">
                <wp:posOffset>0</wp:posOffset>
              </wp:positionH>
              <wp:positionV relativeFrom="paragraph">
                <wp:posOffset>41585</wp:posOffset>
              </wp:positionV>
              <wp:extent cx="5947200" cy="14400"/>
              <wp:effectExtent l="19050" t="19050" r="15875" b="24130"/>
              <wp:wrapNone/>
              <wp:docPr id="7" name="Straight Connector 7"/>
              <wp:cNvGraphicFramePr/>
              <a:graphic xmlns:a="http://schemas.openxmlformats.org/drawingml/2006/main">
                <a:graphicData uri="http://schemas.microsoft.com/office/word/2010/wordprocessingShape">
                  <wps:wsp>
                    <wps:cNvCnPr/>
                    <wps:spPr>
                      <a:xfrm flipV="1">
                        <a:off x="0" y="0"/>
                        <a:ext cx="5947200" cy="14400"/>
                      </a:xfrm>
                      <a:prstGeom prst="line">
                        <a:avLst/>
                      </a:prstGeom>
                      <a:ln w="38100">
                        <a:solidFill>
                          <a:srgbClr val="B6FCF4">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3.25pt" to="468.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Es+AEAAD0EAAAOAAAAZHJzL2Uyb0RvYy54bWysU02P0zAQvSPxHyzfadKlu12ipivRVbkg&#10;qFjg7jp2Y8lfGpsm/feM7TQsIA4gLpZnPPP83vN48zAaTc4CgnK2pctFTYmw3HXKnlr65fP+1T0l&#10;ITLbMe2saOlFBPqwffliM/hG3Lje6U4AQRAbmsG3tI/RN1UVeC8MCwvnhcVD6cCwiCGcqg7YgOhG&#10;Vzd1fVcNDjoPjosQMPtYDuk240spePwoZRCR6JYit5hXyOsxrdV2w5oTMN8rPtFg/8DCMGXx0hnq&#10;kUVGvoH6DcooDi44GRfcmcpJqbjIGlDNsv5FzVPPvMha0JzgZ5vC/4PlH84HIKpr6ZoSyww+0VME&#10;pk59JDtnLRrogKyTT4MPDZbv7AGmKPgDJNGjBEOkVv4rjkC2AYWRMbt8mV0WYyQck7dvVmt8Oko4&#10;ni1XK9wiXlVgEpyHEN8JZ0jatFQrm0xgDTu/D7GUXktSWlsytPT1/RKBUhycVt1eaZ0DOB13GsiZ&#10;4QC8vdvv9quCpX3PSvZ2Xc8UQinPdJ7hIDltMZksKKLzLl60KAw+CYkmorgiP4+vmO9lnAsbl5NM&#10;bbE6tUnkODdO3NPc/6lxqk+tIo/23zTPHflmZ+PcbJR1UJz7+fY4XinLUn91oOhOFhxdd8njkK3B&#10;Gc3OTf8pfYLncW7/8eu33wEAAP//AwBQSwMEFAAGAAgAAAAhAELi/bDbAAAABAEAAA8AAABkcnMv&#10;ZG93bnJldi54bWxMj91KxDAUhO8F3yEcwTs3XcVSa08XXfAPBHHXB0ibY1NMTkqTbbs+vfFKL4cZ&#10;Zr6pNouzYqIx9J4R1qsMBHHrdc8dwsf+4aIAEaJiraxnQjhSgE19elKpUvuZ32naxU6kEg6lQjAx&#10;DqWUoTXkVFj5gTh5n350KiY5dlKPak7lzsrLLMulUz2nBaMG2hpqv3YHh+Celu+3x9f1/sVOzb2M&#10;03F+NlvE87Pl7hZEpCX+heEXP6FDnZgaf2AdhEVIRyJCfg0imTdXeQ6iQSgKkHUl/8PXPwAAAP//&#10;AwBQSwECLQAUAAYACAAAACEAtoM4kv4AAADhAQAAEwAAAAAAAAAAAAAAAAAAAAAAW0NvbnRlbnRf&#10;VHlwZXNdLnhtbFBLAQItABQABgAIAAAAIQA4/SH/1gAAAJQBAAALAAAAAAAAAAAAAAAAAC8BAABf&#10;cmVscy8ucmVsc1BLAQItABQABgAIAAAAIQB2JfEs+AEAAD0EAAAOAAAAAAAAAAAAAAAAAC4CAABk&#10;cnMvZTJvRG9jLnhtbFBLAQItABQABgAIAAAAIQBC4v2w2wAAAAQBAAAPAAAAAAAAAAAAAAAAAFIE&#10;AABkcnMvZG93bnJldi54bWxQSwUGAAAAAAQABADzAAAAWgUAAAAA&#10;" strokecolor="#b6fcf4" strokeweight="3pt">
              <v:stroke opacity="37265f"/>
            </v:line>
          </w:pict>
        </mc:Fallback>
      </mc:AlternateContent>
    </w:r>
  </w:p>
  <w:p w:rsidR="000155BE" w:rsidRDefault="000155B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26" o:spid="_x0000_s6151" type="#_x0000_t136" style="position:absolute;margin-left:0;margin-top:0;width:412.4pt;height:247.45pt;rotation:315;z-index:-251620352;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Default="004818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30" o:spid="_x0000_s6155" type="#_x0000_t136" style="position:absolute;margin-left:0;margin-top:0;width:412.4pt;height:247.45pt;rotation:315;z-index:-251612160;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BE" w:rsidRPr="0002467F" w:rsidRDefault="00481858">
    <w:pPr>
      <w:pStyle w:val="Header"/>
      <w:rPr>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1731" o:spid="_x0000_s6156" type="#_x0000_t136" style="position:absolute;margin-left:0;margin-top:0;width:412.4pt;height:247.45pt;rotation:315;z-index:-251610112;mso-position-horizontal:center;mso-position-horizontal-relative:margin;mso-position-vertical:center;mso-position-vertical-relative:margin" o:allowincell="f" fillcolor="#b6fcf4" stroked="f">
          <v:fill opacity=".5"/>
          <v:textpath style="font-family:&quot;Calibri&quot;;font-size:1pt" string="DRAFT"/>
          <w10:wrap anchorx="margin" anchory="margin"/>
        </v:shape>
      </w:pict>
    </w:r>
    <w:r w:rsidR="000155BE">
      <w:rPr>
        <w:b/>
        <w:sz w:val="28"/>
        <w:szCs w:val="28"/>
      </w:rPr>
      <w:t>Regional Stakeholders</w:t>
    </w:r>
  </w:p>
  <w:p w:rsidR="000155BE" w:rsidRDefault="000155BE">
    <w:pPr>
      <w:pStyle w:val="Header"/>
    </w:pPr>
    <w:r>
      <w:rPr>
        <w:noProof/>
      </w:rPr>
      <mc:AlternateContent>
        <mc:Choice Requires="wps">
          <w:drawing>
            <wp:anchor distT="0" distB="0" distL="114300" distR="114300" simplePos="0" relativeHeight="251667456" behindDoc="0" locked="0" layoutInCell="1" allowOverlap="1" wp14:anchorId="5B9CBBF6" wp14:editId="26E3AFB9">
              <wp:simplePos x="0" y="0"/>
              <wp:positionH relativeFrom="column">
                <wp:posOffset>0</wp:posOffset>
              </wp:positionH>
              <wp:positionV relativeFrom="paragraph">
                <wp:posOffset>41585</wp:posOffset>
              </wp:positionV>
              <wp:extent cx="5947200" cy="14400"/>
              <wp:effectExtent l="19050" t="19050" r="15875" b="24130"/>
              <wp:wrapNone/>
              <wp:docPr id="9" name="Straight Connector 9"/>
              <wp:cNvGraphicFramePr/>
              <a:graphic xmlns:a="http://schemas.openxmlformats.org/drawingml/2006/main">
                <a:graphicData uri="http://schemas.microsoft.com/office/word/2010/wordprocessingShape">
                  <wps:wsp>
                    <wps:cNvCnPr/>
                    <wps:spPr>
                      <a:xfrm flipV="1">
                        <a:off x="0" y="0"/>
                        <a:ext cx="5947200" cy="14400"/>
                      </a:xfrm>
                      <a:prstGeom prst="line">
                        <a:avLst/>
                      </a:prstGeom>
                      <a:ln w="38100">
                        <a:solidFill>
                          <a:srgbClr val="B6FCF4">
                            <a:alpha val="57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3.25pt" to="468.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y8+QEAAD0EAAAOAAAAZHJzL2Uyb0RvYy54bWysU02P0zAQvSPxHyzfadKl+9Go6Up0VS4I&#10;ql2Wu+vYjSV/aWya9t8zttOwgDgs4mJ5xjPP7z2PV/cno8lRQFDOtnQ+qykRlrtO2UNLn79u391R&#10;EiKzHdPOipaeRaD367dvVoNvxJXrne4EEASxoRl8S/sYfVNVgffCsDBzXlg8lA4MixjCoeqADYhu&#10;dHVV1zfV4KDz4LgIAbMP5ZCuM76UgscvUgYRiW4pcot5hbzu01qtV6w5APO94iMN9g8sDFMWL52g&#10;Hlhk5DuoP6CM4uCCk3HGnamclIqLrAHVzOvf1Dz1zIusBc0JfrIp/D9Y/vm4A6K6li4psczgEz1F&#10;YOrQR7Jx1qKBDsgy+TT40GD5xu5gjILfQRJ9kmCI1Mp/wxHINqAwcsounyeXxSkSjsnr5eIWn44S&#10;jmfzxQK3iFcVmATnIcSPwhmSNi3VyiYTWMOOn0IspZeSlNaWDC19fzdHoBQHp1W3VVrnAA77jQZy&#10;ZDgAH262m+2iYGnfs5K9vq0nCqGUZzovcJCctphMFhTReRfPWhQGj0KiiSiuyM/jK6Z7GefCxvko&#10;U1usTm0SOU6NI/c0939rHOtTq8ij/ZrmqSPf7Gycmo2yDopzv94eTxfKstRfHCi6kwV7153zOGRr&#10;cEazc+N/Sp/gZZzbf/769Q8AAAD//wMAUEsDBBQABgAIAAAAIQBC4v2w2wAAAAQBAAAPAAAAZHJz&#10;L2Rvd25yZXYueG1sTI/dSsQwFITvBd8hHME7N13FUmtPF13wDwRx1wdIm2NTTE5Kk227Pr3xSi+H&#10;GWa+qTaLs2KiMfSeEdarDARx63XPHcLH/uGiABGiYq2sZ0I4UoBNfXpSqVL7md9p2sVOpBIOpUIw&#10;MQ6llKE15FRY+YE4eZ9+dComOXZSj2pO5c7KyyzLpVM9pwWjBtoaar92B4fgnpbvt8fX9f7FTs29&#10;jNNxfjZbxPOz5e4WRKQl/oXhFz+hQ52YGn9gHYRFSEciQn4NIpk3V3kOokEoCpB1Jf/D1z8AAAD/&#10;/wMAUEsBAi0AFAAGAAgAAAAhALaDOJL+AAAA4QEAABMAAAAAAAAAAAAAAAAAAAAAAFtDb250ZW50&#10;X1R5cGVzXS54bWxQSwECLQAUAAYACAAAACEAOP0h/9YAAACUAQAACwAAAAAAAAAAAAAAAAAvAQAA&#10;X3JlbHMvLnJlbHNQSwECLQAUAAYACAAAACEAVeGMvPkBAAA9BAAADgAAAAAAAAAAAAAAAAAuAgAA&#10;ZHJzL2Uyb0RvYy54bWxQSwECLQAUAAYACAAAACEAQuL9sNsAAAAEAQAADwAAAAAAAAAAAAAAAABT&#10;BAAAZHJzL2Rvd25yZXYueG1sUEsFBgAAAAAEAAQA8wAAAFsFAAAAAA==&#10;" strokecolor="#b6fcf4" strokeweight="3pt">
              <v:stroke opacity="37265f"/>
            </v:line>
          </w:pict>
        </mc:Fallback>
      </mc:AlternateContent>
    </w:r>
  </w:p>
  <w:p w:rsidR="000155BE" w:rsidRDefault="000155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856"/>
    <w:multiLevelType w:val="hybridMultilevel"/>
    <w:tmpl w:val="D0144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80322D"/>
    <w:multiLevelType w:val="hybridMultilevel"/>
    <w:tmpl w:val="308E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2A6216"/>
    <w:multiLevelType w:val="hybridMultilevel"/>
    <w:tmpl w:val="7E76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A67A58"/>
    <w:multiLevelType w:val="hybridMultilevel"/>
    <w:tmpl w:val="AED8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047151"/>
    <w:multiLevelType w:val="hybridMultilevel"/>
    <w:tmpl w:val="94FAE24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90207A"/>
    <w:multiLevelType w:val="hybridMultilevel"/>
    <w:tmpl w:val="57D4F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A87A47"/>
    <w:multiLevelType w:val="hybridMultilevel"/>
    <w:tmpl w:val="82AA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AC2133"/>
    <w:multiLevelType w:val="hybridMultilevel"/>
    <w:tmpl w:val="912A9FDE"/>
    <w:lvl w:ilvl="0" w:tplc="5EB603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897896"/>
    <w:multiLevelType w:val="hybridMultilevel"/>
    <w:tmpl w:val="B074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8605AA"/>
    <w:multiLevelType w:val="hybridMultilevel"/>
    <w:tmpl w:val="3C2CE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5D6370"/>
    <w:multiLevelType w:val="hybridMultilevel"/>
    <w:tmpl w:val="AADC3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9C26BF"/>
    <w:multiLevelType w:val="hybridMultilevel"/>
    <w:tmpl w:val="6C48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764402"/>
    <w:multiLevelType w:val="hybridMultilevel"/>
    <w:tmpl w:val="AA9E0B78"/>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3">
    <w:nsid w:val="71A212CC"/>
    <w:multiLevelType w:val="hybridMultilevel"/>
    <w:tmpl w:val="9EC0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39237E"/>
    <w:multiLevelType w:val="hybridMultilevel"/>
    <w:tmpl w:val="8482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25508F"/>
    <w:multiLevelType w:val="hybridMultilevel"/>
    <w:tmpl w:val="A0A8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3"/>
  </w:num>
  <w:num w:numId="4">
    <w:abstractNumId w:val="14"/>
  </w:num>
  <w:num w:numId="5">
    <w:abstractNumId w:val="12"/>
  </w:num>
  <w:num w:numId="6">
    <w:abstractNumId w:val="15"/>
  </w:num>
  <w:num w:numId="7">
    <w:abstractNumId w:val="1"/>
  </w:num>
  <w:num w:numId="8">
    <w:abstractNumId w:val="2"/>
  </w:num>
  <w:num w:numId="9">
    <w:abstractNumId w:val="6"/>
  </w:num>
  <w:num w:numId="10">
    <w:abstractNumId w:val="4"/>
  </w:num>
  <w:num w:numId="11">
    <w:abstractNumId w:val="11"/>
  </w:num>
  <w:num w:numId="12">
    <w:abstractNumId w:val="10"/>
  </w:num>
  <w:num w:numId="13">
    <w:abstractNumId w:val="5"/>
  </w:num>
  <w:num w:numId="14">
    <w:abstractNumId w:val="8"/>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79"/>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A30"/>
    <w:rsid w:val="000155BE"/>
    <w:rsid w:val="0002348C"/>
    <w:rsid w:val="0002467F"/>
    <w:rsid w:val="000453DC"/>
    <w:rsid w:val="000A17AA"/>
    <w:rsid w:val="00115770"/>
    <w:rsid w:val="00176532"/>
    <w:rsid w:val="00190691"/>
    <w:rsid w:val="001B43BE"/>
    <w:rsid w:val="001D3844"/>
    <w:rsid w:val="001D68BF"/>
    <w:rsid w:val="00201B31"/>
    <w:rsid w:val="00241770"/>
    <w:rsid w:val="00243C64"/>
    <w:rsid w:val="00250C58"/>
    <w:rsid w:val="002912DA"/>
    <w:rsid w:val="002B08FD"/>
    <w:rsid w:val="002D453F"/>
    <w:rsid w:val="00306A44"/>
    <w:rsid w:val="00314FD7"/>
    <w:rsid w:val="00325AC2"/>
    <w:rsid w:val="00340591"/>
    <w:rsid w:val="00354514"/>
    <w:rsid w:val="003A3E2F"/>
    <w:rsid w:val="003E38C2"/>
    <w:rsid w:val="0041586B"/>
    <w:rsid w:val="004230DE"/>
    <w:rsid w:val="00476392"/>
    <w:rsid w:val="00481858"/>
    <w:rsid w:val="004E3AA4"/>
    <w:rsid w:val="004F67B1"/>
    <w:rsid w:val="00513C48"/>
    <w:rsid w:val="00550F52"/>
    <w:rsid w:val="005A4744"/>
    <w:rsid w:val="005B1802"/>
    <w:rsid w:val="005E1214"/>
    <w:rsid w:val="005F7DA5"/>
    <w:rsid w:val="00634EB3"/>
    <w:rsid w:val="0067051C"/>
    <w:rsid w:val="006719A6"/>
    <w:rsid w:val="00672A78"/>
    <w:rsid w:val="006F6EEA"/>
    <w:rsid w:val="007E762D"/>
    <w:rsid w:val="008331BF"/>
    <w:rsid w:val="008460D3"/>
    <w:rsid w:val="00853533"/>
    <w:rsid w:val="00863E24"/>
    <w:rsid w:val="008D7923"/>
    <w:rsid w:val="009325B6"/>
    <w:rsid w:val="00943FF0"/>
    <w:rsid w:val="00960B5D"/>
    <w:rsid w:val="00992AC0"/>
    <w:rsid w:val="009B780D"/>
    <w:rsid w:val="00A27A39"/>
    <w:rsid w:val="00A375A3"/>
    <w:rsid w:val="00A55D1F"/>
    <w:rsid w:val="00A70A29"/>
    <w:rsid w:val="00A71132"/>
    <w:rsid w:val="00A84945"/>
    <w:rsid w:val="00AA4A30"/>
    <w:rsid w:val="00AE7D4B"/>
    <w:rsid w:val="00AF41BC"/>
    <w:rsid w:val="00B21702"/>
    <w:rsid w:val="00B57C69"/>
    <w:rsid w:val="00B91CD4"/>
    <w:rsid w:val="00B93850"/>
    <w:rsid w:val="00BA6167"/>
    <w:rsid w:val="00BB4581"/>
    <w:rsid w:val="00BE536D"/>
    <w:rsid w:val="00C10E3B"/>
    <w:rsid w:val="00CE429D"/>
    <w:rsid w:val="00D67335"/>
    <w:rsid w:val="00D870C5"/>
    <w:rsid w:val="00DA5169"/>
    <w:rsid w:val="00DA6535"/>
    <w:rsid w:val="00DB4705"/>
    <w:rsid w:val="00DE75DB"/>
    <w:rsid w:val="00E52244"/>
    <w:rsid w:val="00E84049"/>
    <w:rsid w:val="00EB0173"/>
    <w:rsid w:val="00EE46AA"/>
    <w:rsid w:val="00EF675D"/>
    <w:rsid w:val="00F018BC"/>
    <w:rsid w:val="00F57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18BC"/>
    <w:pPr>
      <w:keepNext/>
      <w:keepLines/>
      <w:spacing w:after="240" w:line="240" w:lineRule="auto"/>
      <w:outlineLvl w:val="0"/>
    </w:pPr>
    <w:rPr>
      <w:rFonts w:eastAsiaTheme="majorEastAsia" w:cstheme="majorBidi"/>
      <w:b/>
      <w:bCs/>
      <w:sz w:val="24"/>
      <w:szCs w:val="24"/>
    </w:rPr>
  </w:style>
  <w:style w:type="paragraph" w:styleId="Heading2">
    <w:name w:val="heading 2"/>
    <w:basedOn w:val="Normal"/>
    <w:next w:val="Normal"/>
    <w:link w:val="Heading2Char"/>
    <w:uiPriority w:val="9"/>
    <w:unhideWhenUsed/>
    <w:qFormat/>
    <w:rsid w:val="00F018BC"/>
    <w:pPr>
      <w:keepNext/>
      <w:keepLines/>
      <w:spacing w:before="200" w:after="0"/>
      <w:outlineLvl w:val="1"/>
    </w:pPr>
    <w:rPr>
      <w:rFonts w:eastAsiaTheme="majorEastAsia"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4A30"/>
    <w:pPr>
      <w:ind w:left="720"/>
      <w:contextualSpacing/>
    </w:pPr>
  </w:style>
  <w:style w:type="character" w:styleId="Hyperlink">
    <w:name w:val="Hyperlink"/>
    <w:basedOn w:val="DefaultParagraphFont"/>
    <w:uiPriority w:val="99"/>
    <w:unhideWhenUsed/>
    <w:rsid w:val="00863E24"/>
    <w:rPr>
      <w:color w:val="0000FF" w:themeColor="hyperlink"/>
      <w:u w:val="single"/>
    </w:rPr>
  </w:style>
  <w:style w:type="paragraph" w:styleId="BalloonText">
    <w:name w:val="Balloon Text"/>
    <w:basedOn w:val="Normal"/>
    <w:link w:val="BalloonTextChar"/>
    <w:uiPriority w:val="99"/>
    <w:semiHidden/>
    <w:unhideWhenUsed/>
    <w:rsid w:val="008D7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923"/>
    <w:rPr>
      <w:rFonts w:ascii="Tahoma" w:hAnsi="Tahoma" w:cs="Tahoma"/>
      <w:sz w:val="16"/>
      <w:szCs w:val="16"/>
    </w:rPr>
  </w:style>
  <w:style w:type="character" w:customStyle="1" w:styleId="Heading1Char">
    <w:name w:val="Heading 1 Char"/>
    <w:basedOn w:val="DefaultParagraphFont"/>
    <w:link w:val="Heading1"/>
    <w:uiPriority w:val="9"/>
    <w:rsid w:val="00F018BC"/>
    <w:rPr>
      <w:rFonts w:eastAsiaTheme="majorEastAsia" w:cstheme="majorBidi"/>
      <w:b/>
      <w:bCs/>
      <w:sz w:val="24"/>
      <w:szCs w:val="24"/>
    </w:rPr>
  </w:style>
  <w:style w:type="character" w:customStyle="1" w:styleId="Heading2Char">
    <w:name w:val="Heading 2 Char"/>
    <w:basedOn w:val="DefaultParagraphFont"/>
    <w:link w:val="Heading2"/>
    <w:uiPriority w:val="9"/>
    <w:rsid w:val="00F018BC"/>
    <w:rPr>
      <w:rFonts w:eastAsiaTheme="majorEastAsia" w:cstheme="majorBidi"/>
      <w:b/>
      <w:bCs/>
      <w:sz w:val="24"/>
      <w:szCs w:val="24"/>
    </w:rPr>
  </w:style>
  <w:style w:type="table" w:styleId="TableGrid">
    <w:name w:val="Table Grid"/>
    <w:basedOn w:val="TableNormal"/>
    <w:uiPriority w:val="59"/>
    <w:rsid w:val="00634EB3"/>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pct25" w:color="99FFCC" w:fill="auto"/>
    </w:tcPr>
  </w:style>
  <w:style w:type="character" w:styleId="FootnoteReference">
    <w:name w:val="footnote reference"/>
    <w:uiPriority w:val="99"/>
    <w:semiHidden/>
    <w:rsid w:val="00550F52"/>
    <w:rPr>
      <w:vertAlign w:val="superscript"/>
    </w:rPr>
  </w:style>
  <w:style w:type="paragraph" w:styleId="FootnoteText">
    <w:name w:val="footnote text"/>
    <w:basedOn w:val="Normal"/>
    <w:link w:val="FootnoteTextChar"/>
    <w:uiPriority w:val="99"/>
    <w:semiHidden/>
    <w:rsid w:val="00550F52"/>
    <w:rPr>
      <w:rFonts w:eastAsiaTheme="minorEastAsia"/>
    </w:rPr>
  </w:style>
  <w:style w:type="character" w:customStyle="1" w:styleId="FootnoteTextChar">
    <w:name w:val="Footnote Text Char"/>
    <w:basedOn w:val="DefaultParagraphFont"/>
    <w:link w:val="FootnoteText"/>
    <w:uiPriority w:val="99"/>
    <w:semiHidden/>
    <w:rsid w:val="00550F52"/>
    <w:rPr>
      <w:rFonts w:eastAsiaTheme="minorEastAsia"/>
    </w:rPr>
  </w:style>
  <w:style w:type="paragraph" w:styleId="Header">
    <w:name w:val="header"/>
    <w:basedOn w:val="Normal"/>
    <w:link w:val="HeaderChar"/>
    <w:uiPriority w:val="99"/>
    <w:unhideWhenUsed/>
    <w:rsid w:val="00024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67F"/>
  </w:style>
  <w:style w:type="paragraph" w:styleId="Footer">
    <w:name w:val="footer"/>
    <w:basedOn w:val="Normal"/>
    <w:link w:val="FooterChar"/>
    <w:uiPriority w:val="99"/>
    <w:unhideWhenUsed/>
    <w:rsid w:val="00024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67F"/>
  </w:style>
  <w:style w:type="paragraph" w:styleId="Caption">
    <w:name w:val="caption"/>
    <w:basedOn w:val="Normal"/>
    <w:next w:val="Normal"/>
    <w:uiPriority w:val="35"/>
    <w:unhideWhenUsed/>
    <w:qFormat/>
    <w:rsid w:val="00115770"/>
    <w:pPr>
      <w:spacing w:line="240" w:lineRule="auto"/>
    </w:pPr>
    <w:rPr>
      <w:b/>
      <w:bCs/>
      <w:color w:val="4F81BD" w:themeColor="accent1"/>
      <w:sz w:val="18"/>
      <w:szCs w:val="18"/>
    </w:rPr>
  </w:style>
  <w:style w:type="table" w:styleId="LightShading-Accent3">
    <w:name w:val="Light Shading Accent 3"/>
    <w:basedOn w:val="TableNormal"/>
    <w:uiPriority w:val="60"/>
    <w:rsid w:val="0041586B"/>
    <w:pPr>
      <w:spacing w:after="0" w:line="240" w:lineRule="auto"/>
    </w:pPr>
    <w:rPr>
      <w:color w:val="000000" w:themeColor="text1"/>
    </w:rPr>
    <w:tblPr>
      <w:tblStyleRowBandSize w:val="1"/>
      <w:tblStyleColBandSize w:val="1"/>
      <w:tblBorders>
        <w:top w:val="single" w:sz="4" w:space="0" w:color="B6FCF4"/>
        <w:bottom w:val="single" w:sz="4" w:space="0" w:color="B6FCF4"/>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634EB3"/>
    <w:pPr>
      <w:spacing w:after="0" w:line="240" w:lineRule="auto"/>
    </w:p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tyle1">
    <w:name w:val="Style1"/>
    <w:basedOn w:val="TableNormal"/>
    <w:uiPriority w:val="99"/>
    <w:rsid w:val="0041586B"/>
    <w:pPr>
      <w:spacing w:after="0" w:line="240" w:lineRule="auto"/>
    </w:pPr>
    <w:tblPr>
      <w:tblStyleRowBandSize w:val="1"/>
    </w:tblPr>
  </w:style>
  <w:style w:type="table" w:styleId="LightShading">
    <w:name w:val="Light Shading"/>
    <w:basedOn w:val="TableNormal"/>
    <w:uiPriority w:val="60"/>
    <w:rsid w:val="00634E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3">
    <w:name w:val="Medium List 1 Accent 3"/>
    <w:basedOn w:val="TableNormal"/>
    <w:uiPriority w:val="65"/>
    <w:rsid w:val="00634EB3"/>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1">
    <w:name w:val="Medium List 1 Accent 1"/>
    <w:basedOn w:val="TableNormal"/>
    <w:uiPriority w:val="65"/>
    <w:rsid w:val="00634EB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List-Accent5">
    <w:name w:val="Colorful List Accent 5"/>
    <w:basedOn w:val="TableNormal"/>
    <w:uiPriority w:val="72"/>
    <w:rsid w:val="00634EB3"/>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List-Accent5">
    <w:name w:val="Light List Accent 5"/>
    <w:basedOn w:val="TableNormal"/>
    <w:uiPriority w:val="61"/>
    <w:rsid w:val="00634EB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
    <w:name w:val="Light Grid"/>
    <w:basedOn w:val="TableNormal"/>
    <w:uiPriority w:val="62"/>
    <w:rsid w:val="00634E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6719A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ndnoteText">
    <w:name w:val="endnote text"/>
    <w:basedOn w:val="Normal"/>
    <w:link w:val="EndnoteTextChar"/>
    <w:uiPriority w:val="99"/>
    <w:semiHidden/>
    <w:unhideWhenUsed/>
    <w:rsid w:val="00EB01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0173"/>
    <w:rPr>
      <w:sz w:val="20"/>
      <w:szCs w:val="20"/>
    </w:rPr>
  </w:style>
  <w:style w:type="character" w:styleId="EndnoteReference">
    <w:name w:val="endnote reference"/>
    <w:basedOn w:val="DefaultParagraphFont"/>
    <w:uiPriority w:val="99"/>
    <w:semiHidden/>
    <w:unhideWhenUsed/>
    <w:rsid w:val="00EB0173"/>
    <w:rPr>
      <w:vertAlign w:val="superscript"/>
    </w:rPr>
  </w:style>
  <w:style w:type="paragraph" w:styleId="TOCHeading">
    <w:name w:val="TOC Heading"/>
    <w:basedOn w:val="Heading1"/>
    <w:next w:val="Normal"/>
    <w:uiPriority w:val="39"/>
    <w:unhideWhenUsed/>
    <w:qFormat/>
    <w:rsid w:val="000155BE"/>
    <w:pPr>
      <w:outlineLvl w:val="9"/>
    </w:pPr>
    <w:rPr>
      <w:lang w:eastAsia="ja-JP"/>
    </w:rPr>
  </w:style>
  <w:style w:type="paragraph" w:styleId="TOC2">
    <w:name w:val="toc 2"/>
    <w:basedOn w:val="Normal"/>
    <w:next w:val="Normal"/>
    <w:autoRedefine/>
    <w:uiPriority w:val="39"/>
    <w:unhideWhenUsed/>
    <w:rsid w:val="000155BE"/>
    <w:pPr>
      <w:spacing w:after="100"/>
      <w:ind w:left="220"/>
    </w:pPr>
  </w:style>
  <w:style w:type="paragraph" w:styleId="TOC1">
    <w:name w:val="toc 1"/>
    <w:basedOn w:val="Normal"/>
    <w:next w:val="Normal"/>
    <w:autoRedefine/>
    <w:uiPriority w:val="39"/>
    <w:unhideWhenUsed/>
    <w:rsid w:val="000155B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18BC"/>
    <w:pPr>
      <w:keepNext/>
      <w:keepLines/>
      <w:spacing w:after="240" w:line="240" w:lineRule="auto"/>
      <w:outlineLvl w:val="0"/>
    </w:pPr>
    <w:rPr>
      <w:rFonts w:eastAsiaTheme="majorEastAsia" w:cstheme="majorBidi"/>
      <w:b/>
      <w:bCs/>
      <w:sz w:val="24"/>
      <w:szCs w:val="24"/>
    </w:rPr>
  </w:style>
  <w:style w:type="paragraph" w:styleId="Heading2">
    <w:name w:val="heading 2"/>
    <w:basedOn w:val="Normal"/>
    <w:next w:val="Normal"/>
    <w:link w:val="Heading2Char"/>
    <w:uiPriority w:val="9"/>
    <w:unhideWhenUsed/>
    <w:qFormat/>
    <w:rsid w:val="00F018BC"/>
    <w:pPr>
      <w:keepNext/>
      <w:keepLines/>
      <w:spacing w:before="200" w:after="0"/>
      <w:outlineLvl w:val="1"/>
    </w:pPr>
    <w:rPr>
      <w:rFonts w:eastAsiaTheme="majorEastAsia"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4A30"/>
    <w:pPr>
      <w:ind w:left="720"/>
      <w:contextualSpacing/>
    </w:pPr>
  </w:style>
  <w:style w:type="character" w:styleId="Hyperlink">
    <w:name w:val="Hyperlink"/>
    <w:basedOn w:val="DefaultParagraphFont"/>
    <w:uiPriority w:val="99"/>
    <w:unhideWhenUsed/>
    <w:rsid w:val="00863E24"/>
    <w:rPr>
      <w:color w:val="0000FF" w:themeColor="hyperlink"/>
      <w:u w:val="single"/>
    </w:rPr>
  </w:style>
  <w:style w:type="paragraph" w:styleId="BalloonText">
    <w:name w:val="Balloon Text"/>
    <w:basedOn w:val="Normal"/>
    <w:link w:val="BalloonTextChar"/>
    <w:uiPriority w:val="99"/>
    <w:semiHidden/>
    <w:unhideWhenUsed/>
    <w:rsid w:val="008D7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923"/>
    <w:rPr>
      <w:rFonts w:ascii="Tahoma" w:hAnsi="Tahoma" w:cs="Tahoma"/>
      <w:sz w:val="16"/>
      <w:szCs w:val="16"/>
    </w:rPr>
  </w:style>
  <w:style w:type="character" w:customStyle="1" w:styleId="Heading1Char">
    <w:name w:val="Heading 1 Char"/>
    <w:basedOn w:val="DefaultParagraphFont"/>
    <w:link w:val="Heading1"/>
    <w:uiPriority w:val="9"/>
    <w:rsid w:val="00F018BC"/>
    <w:rPr>
      <w:rFonts w:eastAsiaTheme="majorEastAsia" w:cstheme="majorBidi"/>
      <w:b/>
      <w:bCs/>
      <w:sz w:val="24"/>
      <w:szCs w:val="24"/>
    </w:rPr>
  </w:style>
  <w:style w:type="character" w:customStyle="1" w:styleId="Heading2Char">
    <w:name w:val="Heading 2 Char"/>
    <w:basedOn w:val="DefaultParagraphFont"/>
    <w:link w:val="Heading2"/>
    <w:uiPriority w:val="9"/>
    <w:rsid w:val="00F018BC"/>
    <w:rPr>
      <w:rFonts w:eastAsiaTheme="majorEastAsia" w:cstheme="majorBidi"/>
      <w:b/>
      <w:bCs/>
      <w:sz w:val="24"/>
      <w:szCs w:val="24"/>
    </w:rPr>
  </w:style>
  <w:style w:type="table" w:styleId="TableGrid">
    <w:name w:val="Table Grid"/>
    <w:basedOn w:val="TableNormal"/>
    <w:uiPriority w:val="59"/>
    <w:rsid w:val="00634EB3"/>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pct25" w:color="99FFCC" w:fill="auto"/>
    </w:tcPr>
  </w:style>
  <w:style w:type="character" w:styleId="FootnoteReference">
    <w:name w:val="footnote reference"/>
    <w:uiPriority w:val="99"/>
    <w:semiHidden/>
    <w:rsid w:val="00550F52"/>
    <w:rPr>
      <w:vertAlign w:val="superscript"/>
    </w:rPr>
  </w:style>
  <w:style w:type="paragraph" w:styleId="FootnoteText">
    <w:name w:val="footnote text"/>
    <w:basedOn w:val="Normal"/>
    <w:link w:val="FootnoteTextChar"/>
    <w:uiPriority w:val="99"/>
    <w:semiHidden/>
    <w:rsid w:val="00550F52"/>
    <w:rPr>
      <w:rFonts w:eastAsiaTheme="minorEastAsia"/>
    </w:rPr>
  </w:style>
  <w:style w:type="character" w:customStyle="1" w:styleId="FootnoteTextChar">
    <w:name w:val="Footnote Text Char"/>
    <w:basedOn w:val="DefaultParagraphFont"/>
    <w:link w:val="FootnoteText"/>
    <w:uiPriority w:val="99"/>
    <w:semiHidden/>
    <w:rsid w:val="00550F52"/>
    <w:rPr>
      <w:rFonts w:eastAsiaTheme="minorEastAsia"/>
    </w:rPr>
  </w:style>
  <w:style w:type="paragraph" w:styleId="Header">
    <w:name w:val="header"/>
    <w:basedOn w:val="Normal"/>
    <w:link w:val="HeaderChar"/>
    <w:uiPriority w:val="99"/>
    <w:unhideWhenUsed/>
    <w:rsid w:val="00024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67F"/>
  </w:style>
  <w:style w:type="paragraph" w:styleId="Footer">
    <w:name w:val="footer"/>
    <w:basedOn w:val="Normal"/>
    <w:link w:val="FooterChar"/>
    <w:uiPriority w:val="99"/>
    <w:unhideWhenUsed/>
    <w:rsid w:val="00024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67F"/>
  </w:style>
  <w:style w:type="paragraph" w:styleId="Caption">
    <w:name w:val="caption"/>
    <w:basedOn w:val="Normal"/>
    <w:next w:val="Normal"/>
    <w:uiPriority w:val="35"/>
    <w:unhideWhenUsed/>
    <w:qFormat/>
    <w:rsid w:val="00115770"/>
    <w:pPr>
      <w:spacing w:line="240" w:lineRule="auto"/>
    </w:pPr>
    <w:rPr>
      <w:b/>
      <w:bCs/>
      <w:color w:val="4F81BD" w:themeColor="accent1"/>
      <w:sz w:val="18"/>
      <w:szCs w:val="18"/>
    </w:rPr>
  </w:style>
  <w:style w:type="table" w:styleId="LightShading-Accent3">
    <w:name w:val="Light Shading Accent 3"/>
    <w:basedOn w:val="TableNormal"/>
    <w:uiPriority w:val="60"/>
    <w:rsid w:val="0041586B"/>
    <w:pPr>
      <w:spacing w:after="0" w:line="240" w:lineRule="auto"/>
    </w:pPr>
    <w:rPr>
      <w:color w:val="000000" w:themeColor="text1"/>
    </w:rPr>
    <w:tblPr>
      <w:tblStyleRowBandSize w:val="1"/>
      <w:tblStyleColBandSize w:val="1"/>
      <w:tblBorders>
        <w:top w:val="single" w:sz="4" w:space="0" w:color="B6FCF4"/>
        <w:bottom w:val="single" w:sz="4" w:space="0" w:color="B6FCF4"/>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634EB3"/>
    <w:pPr>
      <w:spacing w:after="0" w:line="240" w:lineRule="auto"/>
    </w:p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tyle1">
    <w:name w:val="Style1"/>
    <w:basedOn w:val="TableNormal"/>
    <w:uiPriority w:val="99"/>
    <w:rsid w:val="0041586B"/>
    <w:pPr>
      <w:spacing w:after="0" w:line="240" w:lineRule="auto"/>
    </w:pPr>
    <w:tblPr>
      <w:tblStyleRowBandSize w:val="1"/>
    </w:tblPr>
  </w:style>
  <w:style w:type="table" w:styleId="LightShading">
    <w:name w:val="Light Shading"/>
    <w:basedOn w:val="TableNormal"/>
    <w:uiPriority w:val="60"/>
    <w:rsid w:val="00634E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3">
    <w:name w:val="Medium List 1 Accent 3"/>
    <w:basedOn w:val="TableNormal"/>
    <w:uiPriority w:val="65"/>
    <w:rsid w:val="00634EB3"/>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1">
    <w:name w:val="Medium List 1 Accent 1"/>
    <w:basedOn w:val="TableNormal"/>
    <w:uiPriority w:val="65"/>
    <w:rsid w:val="00634EB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List-Accent5">
    <w:name w:val="Colorful List Accent 5"/>
    <w:basedOn w:val="TableNormal"/>
    <w:uiPriority w:val="72"/>
    <w:rsid w:val="00634EB3"/>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List-Accent5">
    <w:name w:val="Light List Accent 5"/>
    <w:basedOn w:val="TableNormal"/>
    <w:uiPriority w:val="61"/>
    <w:rsid w:val="00634EB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
    <w:name w:val="Light Grid"/>
    <w:basedOn w:val="TableNormal"/>
    <w:uiPriority w:val="62"/>
    <w:rsid w:val="00634E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6719A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ndnoteText">
    <w:name w:val="endnote text"/>
    <w:basedOn w:val="Normal"/>
    <w:link w:val="EndnoteTextChar"/>
    <w:uiPriority w:val="99"/>
    <w:semiHidden/>
    <w:unhideWhenUsed/>
    <w:rsid w:val="00EB01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0173"/>
    <w:rPr>
      <w:sz w:val="20"/>
      <w:szCs w:val="20"/>
    </w:rPr>
  </w:style>
  <w:style w:type="character" w:styleId="EndnoteReference">
    <w:name w:val="endnote reference"/>
    <w:basedOn w:val="DefaultParagraphFont"/>
    <w:uiPriority w:val="99"/>
    <w:semiHidden/>
    <w:unhideWhenUsed/>
    <w:rsid w:val="00EB0173"/>
    <w:rPr>
      <w:vertAlign w:val="superscript"/>
    </w:rPr>
  </w:style>
  <w:style w:type="paragraph" w:styleId="TOCHeading">
    <w:name w:val="TOC Heading"/>
    <w:basedOn w:val="Heading1"/>
    <w:next w:val="Normal"/>
    <w:uiPriority w:val="39"/>
    <w:unhideWhenUsed/>
    <w:qFormat/>
    <w:rsid w:val="000155BE"/>
    <w:pPr>
      <w:outlineLvl w:val="9"/>
    </w:pPr>
    <w:rPr>
      <w:lang w:eastAsia="ja-JP"/>
    </w:rPr>
  </w:style>
  <w:style w:type="paragraph" w:styleId="TOC2">
    <w:name w:val="toc 2"/>
    <w:basedOn w:val="Normal"/>
    <w:next w:val="Normal"/>
    <w:autoRedefine/>
    <w:uiPriority w:val="39"/>
    <w:unhideWhenUsed/>
    <w:rsid w:val="000155BE"/>
    <w:pPr>
      <w:spacing w:after="100"/>
      <w:ind w:left="220"/>
    </w:pPr>
  </w:style>
  <w:style w:type="paragraph" w:styleId="TOC1">
    <w:name w:val="toc 1"/>
    <w:basedOn w:val="Normal"/>
    <w:next w:val="Normal"/>
    <w:autoRedefine/>
    <w:uiPriority w:val="39"/>
    <w:unhideWhenUsed/>
    <w:rsid w:val="000155B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407103">
      <w:bodyDiv w:val="1"/>
      <w:marLeft w:val="0"/>
      <w:marRight w:val="0"/>
      <w:marTop w:val="0"/>
      <w:marBottom w:val="0"/>
      <w:divBdr>
        <w:top w:val="none" w:sz="0" w:space="0" w:color="auto"/>
        <w:left w:val="none" w:sz="0" w:space="0" w:color="auto"/>
        <w:bottom w:val="none" w:sz="0" w:space="0" w:color="auto"/>
        <w:right w:val="none" w:sz="0" w:space="0" w:color="auto"/>
      </w:divBdr>
    </w:div>
    <w:div w:id="1408528271">
      <w:bodyDiv w:val="1"/>
      <w:marLeft w:val="0"/>
      <w:marRight w:val="0"/>
      <w:marTop w:val="0"/>
      <w:marBottom w:val="0"/>
      <w:divBdr>
        <w:top w:val="none" w:sz="0" w:space="0" w:color="auto"/>
        <w:left w:val="none" w:sz="0" w:space="0" w:color="auto"/>
        <w:bottom w:val="none" w:sz="0" w:space="0" w:color="auto"/>
        <w:right w:val="none" w:sz="0" w:space="0" w:color="auto"/>
      </w:divBdr>
    </w:div>
    <w:div w:id="1424033523">
      <w:bodyDiv w:val="1"/>
      <w:marLeft w:val="0"/>
      <w:marRight w:val="0"/>
      <w:marTop w:val="0"/>
      <w:marBottom w:val="0"/>
      <w:divBdr>
        <w:top w:val="none" w:sz="0" w:space="0" w:color="auto"/>
        <w:left w:val="none" w:sz="0" w:space="0" w:color="auto"/>
        <w:bottom w:val="none" w:sz="0" w:space="0" w:color="auto"/>
        <w:right w:val="none" w:sz="0" w:space="0" w:color="auto"/>
      </w:divBdr>
    </w:div>
    <w:div w:id="1550536356">
      <w:bodyDiv w:val="1"/>
      <w:marLeft w:val="0"/>
      <w:marRight w:val="0"/>
      <w:marTop w:val="0"/>
      <w:marBottom w:val="0"/>
      <w:divBdr>
        <w:top w:val="none" w:sz="0" w:space="0" w:color="auto"/>
        <w:left w:val="none" w:sz="0" w:space="0" w:color="auto"/>
        <w:bottom w:val="none" w:sz="0" w:space="0" w:color="auto"/>
        <w:right w:val="none" w:sz="0" w:space="0" w:color="auto"/>
      </w:divBdr>
    </w:div>
    <w:div w:id="1679380214">
      <w:bodyDiv w:val="1"/>
      <w:marLeft w:val="0"/>
      <w:marRight w:val="0"/>
      <w:marTop w:val="0"/>
      <w:marBottom w:val="0"/>
      <w:divBdr>
        <w:top w:val="none" w:sz="0" w:space="0" w:color="auto"/>
        <w:left w:val="none" w:sz="0" w:space="0" w:color="auto"/>
        <w:bottom w:val="none" w:sz="0" w:space="0" w:color="auto"/>
        <w:right w:val="none" w:sz="0" w:space="0" w:color="auto"/>
      </w:divBdr>
    </w:div>
    <w:div w:id="2006125205">
      <w:bodyDiv w:val="1"/>
      <w:marLeft w:val="0"/>
      <w:marRight w:val="0"/>
      <w:marTop w:val="0"/>
      <w:marBottom w:val="0"/>
      <w:divBdr>
        <w:top w:val="none" w:sz="0" w:space="0" w:color="auto"/>
        <w:left w:val="none" w:sz="0" w:space="0" w:color="auto"/>
        <w:bottom w:val="none" w:sz="0" w:space="0" w:color="auto"/>
        <w:right w:val="none" w:sz="0" w:space="0" w:color="auto"/>
      </w:divBdr>
    </w:div>
    <w:div w:id="212221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grc.org/resource-1.php?page_ID=1406229947" TargetMode="Externa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15.xml"/><Relationship Id="rId21" Type="http://schemas.openxmlformats.org/officeDocument/2006/relationships/header" Target="header9.xml"/><Relationship Id="rId34" Type="http://schemas.openxmlformats.org/officeDocument/2006/relationships/hyperlink" Target="http://www.negrc.org/user_files//1402596825_WIA%20NE%20GA%20EPL%206.10.14.pdf" TargetMode="External"/><Relationship Id="rId42" Type="http://schemas.openxmlformats.org/officeDocument/2006/relationships/image" Target="media/image8.tiff"/><Relationship Id="rId47" Type="http://schemas.openxmlformats.org/officeDocument/2006/relationships/header" Target="header20.xml"/><Relationship Id="rId50" Type="http://schemas.openxmlformats.org/officeDocument/2006/relationships/hyperlink" Target="http://www.ovpr.uga.edu/gbbc/" TargetMode="External"/><Relationship Id="rId55" Type="http://schemas.openxmlformats.org/officeDocument/2006/relationships/header" Target="header26.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header" Target="header8.xml"/><Relationship Id="rId29" Type="http://schemas.openxmlformats.org/officeDocument/2006/relationships/hyperlink" Target="http://www.georgialibraries.org/lib/construction/georgia_population_projections_march_2010.pdf" TargetMode="External"/><Relationship Id="rId41" Type="http://schemas.openxmlformats.org/officeDocument/2006/relationships/image" Target="media/image7.tiff"/><Relationship Id="rId54" Type="http://schemas.openxmlformats.org/officeDocument/2006/relationships/header" Target="header2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tiff"/><Relationship Id="rId32" Type="http://schemas.openxmlformats.org/officeDocument/2006/relationships/hyperlink" Target="http://www.georgialibraries.org/lib/construction/georgia_population_projections_march_2010.pdf" TargetMode="External"/><Relationship Id="rId37" Type="http://schemas.openxmlformats.org/officeDocument/2006/relationships/chart" Target="charts/chart5.xml"/><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header" Target="header24.xml"/><Relationship Id="rId58" Type="http://schemas.openxmlformats.org/officeDocument/2006/relationships/hyperlink" Target="http://www.georgiaplanning.co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header" Target="header13.xml"/><Relationship Id="rId36" Type="http://schemas.openxmlformats.org/officeDocument/2006/relationships/chart" Target="charts/chart4.xml"/><Relationship Id="rId49" Type="http://schemas.openxmlformats.org/officeDocument/2006/relationships/header" Target="header22.xml"/><Relationship Id="rId57" Type="http://schemas.openxmlformats.org/officeDocument/2006/relationships/header" Target="header28.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chart" Target="charts/chart2.xml"/><Relationship Id="rId44" Type="http://schemas.openxmlformats.org/officeDocument/2006/relationships/header" Target="header17.xml"/><Relationship Id="rId52" Type="http://schemas.openxmlformats.org/officeDocument/2006/relationships/header" Target="header23.xml"/><Relationship Id="rId60" Type="http://schemas.openxmlformats.org/officeDocument/2006/relationships/header" Target="header3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2.xml"/><Relationship Id="rId30" Type="http://schemas.openxmlformats.org/officeDocument/2006/relationships/image" Target="media/image5.tiff"/><Relationship Id="rId35" Type="http://schemas.openxmlformats.org/officeDocument/2006/relationships/chart" Target="charts/chart3.xml"/><Relationship Id="rId43" Type="http://schemas.openxmlformats.org/officeDocument/2006/relationships/image" Target="media/image9.tiff"/><Relationship Id="rId48" Type="http://schemas.openxmlformats.org/officeDocument/2006/relationships/header" Target="header21.xml"/><Relationship Id="rId56"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hyperlink" Target="http://www.tagonline.org/chapters-and-societies/athen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4.tiff"/><Relationship Id="rId33" Type="http://schemas.openxmlformats.org/officeDocument/2006/relationships/image" Target="media/image6.tiff"/><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header" Target="header29.xml"/></Relationships>
</file>

<file path=word/_rels/footnotes.xml.rels><?xml version="1.0" encoding="UTF-8" standalone="yes"?>
<Relationships xmlns="http://schemas.openxmlformats.org/package/2006/relationships"><Relationship Id="rId3" Type="http://schemas.openxmlformats.org/officeDocument/2006/relationships/hyperlink" Target="http://www.broadbandmap.gov/about/technical-overview/assembling-the-data" TargetMode="External"/><Relationship Id="rId7" Type="http://schemas.openxmlformats.org/officeDocument/2006/relationships/hyperlink" Target="http://www.fhwa.dot.gov/policy/otps/exeorder.cfm" TargetMode="External"/><Relationship Id="rId2" Type="http://schemas.openxmlformats.org/officeDocument/2006/relationships/hyperlink" Target="http://www.negrc.org/resource-1.php?page_ID=1389969106" TargetMode="External"/><Relationship Id="rId1" Type="http://schemas.openxmlformats.org/officeDocument/2006/relationships/hyperlink" Target="http://www.negrc.org/resource-1.php?page_ID=1294178146" TargetMode="External"/><Relationship Id="rId6" Type="http://schemas.openxmlformats.org/officeDocument/2006/relationships/hyperlink" Target="http://www.whitehouse.gov/issues/education/k-12/connected%23schools" TargetMode="External"/><Relationship Id="rId5" Type="http://schemas.openxmlformats.org/officeDocument/2006/relationships/hyperlink" Target="http://www.usac.org/rhc/telecommunications/tools/Rural/search/search.asp" TargetMode="External"/><Relationship Id="rId4" Type="http://schemas.openxmlformats.org/officeDocument/2006/relationships/hyperlink" Target="https://dch.georgia.gov/sites/dch.georgia.gov/files/related_files/document/Georgia%27s%20Rural%20Counties-April%202014.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lansrv\shared\Planning\GTA\Plan%20Document\KG%20Sections\Charts%20for%20Document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lansrv\shared\Planning\GTA\Plan%20Document\KG%20Sections\Charts%20for%20Docum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lansrv\shared\Planning\GTA\Plan%20Document\KG%20Sections\Charts%20for%20Docume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lansrv\shared\Planning\GTA\Plan%20Document\KG%20Sections\Charts%20for%20Docume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lansrv\shared\Planning\GTA\Plan%20Document\KG%20Sections\Charts%20for%20Docu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98431926778387E-2"/>
          <c:y val="1.7964438283895701E-2"/>
          <c:w val="0.91679872833265974"/>
          <c:h val="0.92703685817906301"/>
        </c:manualLayout>
      </c:layout>
      <c:scatterChart>
        <c:scatterStyle val="smoothMarker"/>
        <c:varyColors val="0"/>
        <c:ser>
          <c:idx val="0"/>
          <c:order val="0"/>
          <c:tx>
            <c:strRef>
              <c:f>'Unemployment Figures'!$N$1</c:f>
              <c:strCache>
                <c:ptCount val="1"/>
                <c:pt idx="0">
                  <c:v>Regional (Avg)</c:v>
                </c:pt>
              </c:strCache>
            </c:strRef>
          </c:tx>
          <c:dLbls>
            <c:dLbl>
              <c:idx val="0"/>
              <c:layout>
                <c:manualLayout>
                  <c:x val="-2.3436620550040876E-2"/>
                  <c:y val="1.6144889578330761E-2"/>
                </c:manualLayout>
              </c:layout>
              <c:showLegendKey val="0"/>
              <c:showVal val="1"/>
              <c:showCatName val="0"/>
              <c:showSerName val="0"/>
              <c:showPercent val="0"/>
              <c:showBubbleSize val="0"/>
            </c:dLbl>
            <c:dLbl>
              <c:idx val="1"/>
              <c:layout>
                <c:manualLayout>
                  <c:x val="-8.7887327062654355E-3"/>
                  <c:y val="-1.4126778381039417E-2"/>
                </c:manualLayout>
              </c:layout>
              <c:showLegendKey val="0"/>
              <c:showVal val="1"/>
              <c:showCatName val="0"/>
              <c:showSerName val="0"/>
              <c:showPercent val="0"/>
              <c:showBubbleSize val="0"/>
            </c:dLbl>
            <c:dLbl>
              <c:idx val="2"/>
              <c:layout>
                <c:manualLayout>
                  <c:x val="-8.788732706265328E-3"/>
                  <c:y val="-1.4126778381039417E-2"/>
                </c:manualLayout>
              </c:layout>
              <c:showLegendKey val="0"/>
              <c:showVal val="1"/>
              <c:showCatName val="0"/>
              <c:showSerName val="0"/>
              <c:showPercent val="0"/>
              <c:showBubbleSize val="0"/>
            </c:dLbl>
            <c:dLbl>
              <c:idx val="3"/>
              <c:layout>
                <c:manualLayout>
                  <c:x val="-1.0253521490642884E-2"/>
                  <c:y val="-1.6144889578330761E-2"/>
                </c:manualLayout>
              </c:layout>
              <c:showLegendKey val="0"/>
              <c:showVal val="1"/>
              <c:showCatName val="0"/>
              <c:showSerName val="0"/>
              <c:showPercent val="0"/>
              <c:showBubbleSize val="0"/>
            </c:dLbl>
            <c:dLbl>
              <c:idx val="6"/>
              <c:layout>
                <c:manualLayout>
                  <c:x val="-4.8338029884459309E-2"/>
                  <c:y val="-1.4126778381039417E-2"/>
                </c:manualLayout>
              </c:layout>
              <c:showLegendKey val="0"/>
              <c:showVal val="1"/>
              <c:showCatName val="0"/>
              <c:showSerName val="0"/>
              <c:showPercent val="0"/>
              <c:showBubbleSize val="0"/>
            </c:dLbl>
            <c:dLbl>
              <c:idx val="7"/>
              <c:layout>
                <c:manualLayout>
                  <c:x val="-4.6873241100081751E-2"/>
                  <c:y val="1.4126778381039417E-2"/>
                </c:manualLayout>
              </c:layout>
              <c:showLegendKey val="0"/>
              <c:showVal val="1"/>
              <c:showCatName val="0"/>
              <c:showSerName val="0"/>
              <c:showPercent val="0"/>
              <c:showBubbleSize val="0"/>
            </c:dLbl>
            <c:dLbl>
              <c:idx val="8"/>
              <c:layout>
                <c:manualLayout>
                  <c:x val="-1.0253521490642884E-2"/>
                  <c:y val="-1.0090555986456726E-2"/>
                </c:manualLayout>
              </c:layout>
              <c:showLegendKey val="0"/>
              <c:showVal val="1"/>
              <c:showCatName val="0"/>
              <c:showSerName val="0"/>
              <c:showPercent val="0"/>
              <c:showBubbleSize val="0"/>
            </c:dLbl>
            <c:dLbl>
              <c:idx val="9"/>
              <c:layout>
                <c:manualLayout>
                  <c:x val="-7.3239439218877739E-3"/>
                  <c:y val="1.4126778381039417E-2"/>
                </c:manualLayout>
              </c:layout>
              <c:showLegendKey val="0"/>
              <c:showVal val="1"/>
              <c:showCatName val="0"/>
              <c:showSerName val="0"/>
              <c:showPercent val="0"/>
              <c:showBubbleSize val="0"/>
            </c:dLbl>
            <c:txPr>
              <a:bodyPr rot="0"/>
              <a:lstStyle/>
              <a:p>
                <a:pPr>
                  <a:defRPr/>
                </a:pPr>
                <a:endParaRPr lang="en-US"/>
              </a:p>
            </c:txPr>
            <c:showLegendKey val="0"/>
            <c:showVal val="1"/>
            <c:showCatName val="0"/>
            <c:showSerName val="0"/>
            <c:showPercent val="0"/>
            <c:showBubbleSize val="0"/>
            <c:showLeaderLines val="0"/>
          </c:dLbls>
          <c:xVal>
            <c:numRef>
              <c:f>'Unemployment Figures'!$A$2:$A$11</c:f>
              <c:numCache>
                <c:formatCode>General</c:formatCode>
                <c:ptCount val="10"/>
                <c:pt idx="0">
                  <c:v>2013</c:v>
                </c:pt>
                <c:pt idx="1">
                  <c:v>2012</c:v>
                </c:pt>
                <c:pt idx="2">
                  <c:v>2011</c:v>
                </c:pt>
                <c:pt idx="3">
                  <c:v>2010</c:v>
                </c:pt>
                <c:pt idx="4">
                  <c:v>2009</c:v>
                </c:pt>
                <c:pt idx="5">
                  <c:v>2008</c:v>
                </c:pt>
                <c:pt idx="6">
                  <c:v>2007</c:v>
                </c:pt>
                <c:pt idx="7">
                  <c:v>2006</c:v>
                </c:pt>
                <c:pt idx="8">
                  <c:v>2005</c:v>
                </c:pt>
                <c:pt idx="9">
                  <c:v>2004</c:v>
                </c:pt>
              </c:numCache>
            </c:numRef>
          </c:xVal>
          <c:yVal>
            <c:numRef>
              <c:f>'Unemployment Figures'!$N$2:$N$11</c:f>
              <c:numCache>
                <c:formatCode>0.0%</c:formatCode>
                <c:ptCount val="10"/>
                <c:pt idx="0">
                  <c:v>7.2999999999999995E-2</c:v>
                </c:pt>
                <c:pt idx="1">
                  <c:v>8.3000000000000004E-2</c:v>
                </c:pt>
                <c:pt idx="2">
                  <c:v>9.5416666666666664E-2</c:v>
                </c:pt>
                <c:pt idx="3">
                  <c:v>9.8833333333333329E-2</c:v>
                </c:pt>
                <c:pt idx="4">
                  <c:v>9.7250000000000003E-2</c:v>
                </c:pt>
                <c:pt idx="5">
                  <c:v>6.3166666666666663E-2</c:v>
                </c:pt>
                <c:pt idx="6">
                  <c:v>4.4833333333333329E-2</c:v>
                </c:pt>
                <c:pt idx="7">
                  <c:v>4.5416666666666668E-2</c:v>
                </c:pt>
                <c:pt idx="8">
                  <c:v>4.9749999999999996E-2</c:v>
                </c:pt>
                <c:pt idx="9">
                  <c:v>4.5249999999999992E-2</c:v>
                </c:pt>
              </c:numCache>
            </c:numRef>
          </c:yVal>
          <c:smooth val="1"/>
        </c:ser>
        <c:ser>
          <c:idx val="1"/>
          <c:order val="1"/>
          <c:tx>
            <c:v>Global Recession Begins</c:v>
          </c:tx>
          <c:spPr>
            <a:ln w="38100">
              <a:solidFill>
                <a:srgbClr val="FF0000"/>
              </a:solidFill>
              <a:prstDash val="sysDash"/>
            </a:ln>
          </c:spPr>
          <c:marker>
            <c:symbol val="none"/>
          </c:marker>
          <c:errBars>
            <c:errDir val="y"/>
            <c:errBarType val="both"/>
            <c:errValType val="percentage"/>
            <c:noEndCap val="0"/>
            <c:val val="100"/>
            <c:spPr>
              <a:ln w="38100" cap="rnd">
                <a:solidFill>
                  <a:srgbClr val="FF0000"/>
                </a:solidFill>
                <a:prstDash val="dash"/>
              </a:ln>
            </c:spPr>
          </c:errBars>
          <c:errBars>
            <c:errDir val="x"/>
            <c:errBarType val="both"/>
            <c:errValType val="fixedVal"/>
            <c:noEndCap val="0"/>
            <c:val val="1"/>
          </c:errBars>
          <c:xVal>
            <c:numRef>
              <c:f>'Unemployment Figures'!$P$17</c:f>
              <c:numCache>
                <c:formatCode>General</c:formatCode>
                <c:ptCount val="1"/>
                <c:pt idx="0">
                  <c:v>2008</c:v>
                </c:pt>
              </c:numCache>
            </c:numRef>
          </c:xVal>
          <c:yVal>
            <c:numLit>
              <c:formatCode>General</c:formatCode>
              <c:ptCount val="1"/>
              <c:pt idx="0">
                <c:v>100</c:v>
              </c:pt>
            </c:numLit>
          </c:yVal>
          <c:smooth val="1"/>
        </c:ser>
        <c:dLbls>
          <c:showLegendKey val="0"/>
          <c:showVal val="0"/>
          <c:showCatName val="0"/>
          <c:showSerName val="0"/>
          <c:showPercent val="0"/>
          <c:showBubbleSize val="0"/>
        </c:dLbls>
        <c:axId val="145496320"/>
        <c:axId val="145514496"/>
      </c:scatterChart>
      <c:valAx>
        <c:axId val="145496320"/>
        <c:scaling>
          <c:orientation val="minMax"/>
          <c:max val="2013"/>
          <c:min val="2004"/>
        </c:scaling>
        <c:delete val="0"/>
        <c:axPos val="b"/>
        <c:numFmt formatCode="General" sourceLinked="1"/>
        <c:majorTickMark val="out"/>
        <c:minorTickMark val="none"/>
        <c:tickLblPos val="nextTo"/>
        <c:crossAx val="145514496"/>
        <c:crosses val="autoZero"/>
        <c:crossBetween val="midCat"/>
      </c:valAx>
      <c:valAx>
        <c:axId val="145514496"/>
        <c:scaling>
          <c:orientation val="minMax"/>
          <c:max val="0.11000000000000001"/>
          <c:min val="3.0000000000000006E-2"/>
        </c:scaling>
        <c:delete val="0"/>
        <c:axPos val="l"/>
        <c:majorGridlines/>
        <c:numFmt formatCode="0.0%" sourceLinked="1"/>
        <c:majorTickMark val="out"/>
        <c:minorTickMark val="none"/>
        <c:tickLblPos val="nextTo"/>
        <c:crossAx val="145496320"/>
        <c:crosses val="autoZero"/>
        <c:crossBetween val="midCat"/>
      </c:valAx>
    </c:plotArea>
    <c:legend>
      <c:legendPos val="r"/>
      <c:layout>
        <c:manualLayout>
          <c:xMode val="edge"/>
          <c:yMode val="edge"/>
          <c:x val="0.61580405814657779"/>
          <c:y val="0.75986685797333919"/>
          <c:w val="0.34049397671444914"/>
          <c:h val="0.15537586845761928"/>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12538961074914E-2"/>
          <c:y val="2.2406119294525531E-2"/>
          <c:w val="0.92558746103892509"/>
          <c:h val="0.86833667751838428"/>
        </c:manualLayout>
      </c:layout>
      <c:barChart>
        <c:barDir val="col"/>
        <c:grouping val="clustered"/>
        <c:varyColors val="0"/>
        <c:ser>
          <c:idx val="0"/>
          <c:order val="0"/>
          <c:tx>
            <c:strRef>
              <c:f>'Pop Projections'!$G$1</c:f>
              <c:strCache>
                <c:ptCount val="1"/>
                <c:pt idx="0">
                  <c:v>Rate</c:v>
                </c:pt>
              </c:strCache>
            </c:strRef>
          </c:tx>
          <c:spPr>
            <a:solidFill>
              <a:srgbClr val="D2EAF1"/>
            </a:solidFill>
            <a:ln>
              <a:solidFill>
                <a:srgbClr val="D2EAF1"/>
              </a:solidFill>
            </a:ln>
          </c:spPr>
          <c:invertIfNegative val="0"/>
          <c:dLbls>
            <c:dLbl>
              <c:idx val="2"/>
              <c:layout/>
              <c:dLblPos val="outEnd"/>
              <c:showLegendKey val="0"/>
              <c:showVal val="1"/>
              <c:showCatName val="0"/>
              <c:showSerName val="0"/>
              <c:showPercent val="0"/>
              <c:showBubbleSize val="0"/>
            </c:dLbl>
            <c:txPr>
              <a:bodyPr rot="-5400000" vert="horz"/>
              <a:lstStyle/>
              <a:p>
                <a:pPr>
                  <a:defRPr>
                    <a:latin typeface="Georgia" panose="02040502050405020303" pitchFamily="18" charset="0"/>
                  </a:defRPr>
                </a:pPr>
                <a:endParaRPr lang="en-US"/>
              </a:p>
            </c:txPr>
            <c:dLblPos val="ctr"/>
            <c:showLegendKey val="0"/>
            <c:showVal val="1"/>
            <c:showCatName val="0"/>
            <c:showSerName val="0"/>
            <c:showPercent val="0"/>
            <c:showBubbleSize val="0"/>
            <c:showLeaderLines val="0"/>
          </c:dLbls>
          <c:cat>
            <c:strRef>
              <c:f>'Pop Projections'!$A$2:$A$13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'Pop Projections'!$G$2:$G$13</c:f>
              <c:numCache>
                <c:formatCode>0.00%</c:formatCode>
                <c:ptCount val="12"/>
                <c:pt idx="0">
                  <c:v>1.1828391021667364</c:v>
                </c:pt>
                <c:pt idx="1">
                  <c:v>0.26268485357369298</c:v>
                </c:pt>
                <c:pt idx="2">
                  <c:v>6.2530992760091247E-2</c:v>
                </c:pt>
                <c:pt idx="3">
                  <c:v>0.63398774540452674</c:v>
                </c:pt>
                <c:pt idx="4">
                  <c:v>1.0455980821691329</c:v>
                </c:pt>
                <c:pt idx="5">
                  <c:v>0.94712230215827342</c:v>
                </c:pt>
                <c:pt idx="6">
                  <c:v>0.45906827880512091</c:v>
                </c:pt>
                <c:pt idx="7">
                  <c:v>0.73998209088873967</c:v>
                </c:pt>
                <c:pt idx="8">
                  <c:v>1.2763260569439165</c:v>
                </c:pt>
                <c:pt idx="9">
                  <c:v>1.0064618385759572</c:v>
                </c:pt>
                <c:pt idx="10">
                  <c:v>0.88475736626619239</c:v>
                </c:pt>
                <c:pt idx="11">
                  <c:v>0.82710581606341327</c:v>
                </c:pt>
              </c:numCache>
            </c:numRef>
          </c:val>
        </c:ser>
        <c:dLbls>
          <c:showLegendKey val="0"/>
          <c:showVal val="0"/>
          <c:showCatName val="0"/>
          <c:showSerName val="0"/>
          <c:showPercent val="0"/>
          <c:showBubbleSize val="0"/>
        </c:dLbls>
        <c:gapWidth val="22"/>
        <c:overlap val="100"/>
        <c:axId val="110303104"/>
        <c:axId val="110304640"/>
      </c:barChart>
      <c:lineChart>
        <c:grouping val="standard"/>
        <c:varyColors val="0"/>
        <c:ser>
          <c:idx val="1"/>
          <c:order val="1"/>
          <c:tx>
            <c:strRef>
              <c:f>'Pop Projections'!$H$1</c:f>
              <c:strCache>
                <c:ptCount val="1"/>
                <c:pt idx="0">
                  <c:v>Region (81.3%)</c:v>
                </c:pt>
              </c:strCache>
            </c:strRef>
          </c:tx>
          <c:marker>
            <c:symbol val="none"/>
          </c:marker>
          <c:cat>
            <c:strRef>
              <c:f>'Pop Projections'!$A$2:$A$13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'Pop Projections'!$H$2:$H$13</c:f>
              <c:numCache>
                <c:formatCode>0.00%</c:formatCode>
                <c:ptCount val="12"/>
                <c:pt idx="0">
                  <c:v>0.81825181561788496</c:v>
                </c:pt>
                <c:pt idx="1">
                  <c:v>0.81825181561788496</c:v>
                </c:pt>
                <c:pt idx="2">
                  <c:v>0.81825181561788496</c:v>
                </c:pt>
                <c:pt idx="3">
                  <c:v>0.81825181561788496</c:v>
                </c:pt>
                <c:pt idx="4">
                  <c:v>0.81825181561788496</c:v>
                </c:pt>
                <c:pt idx="5">
                  <c:v>0.81825181561788496</c:v>
                </c:pt>
                <c:pt idx="6">
                  <c:v>0.81825181561788496</c:v>
                </c:pt>
                <c:pt idx="7">
                  <c:v>0.81825181561788496</c:v>
                </c:pt>
                <c:pt idx="8">
                  <c:v>0.81825181561788496</c:v>
                </c:pt>
                <c:pt idx="9">
                  <c:v>0.81825181561788496</c:v>
                </c:pt>
                <c:pt idx="10">
                  <c:v>0.81825181561788496</c:v>
                </c:pt>
                <c:pt idx="11">
                  <c:v>0.81825181561788496</c:v>
                </c:pt>
              </c:numCache>
            </c:numRef>
          </c:val>
          <c:smooth val="0"/>
        </c:ser>
        <c:dLbls>
          <c:showLegendKey val="0"/>
          <c:showVal val="0"/>
          <c:showCatName val="0"/>
          <c:showSerName val="0"/>
          <c:showPercent val="0"/>
          <c:showBubbleSize val="0"/>
        </c:dLbls>
        <c:marker val="1"/>
        <c:smooth val="0"/>
        <c:axId val="110303104"/>
        <c:axId val="110304640"/>
      </c:lineChart>
      <c:catAx>
        <c:axId val="110303104"/>
        <c:scaling>
          <c:orientation val="minMax"/>
        </c:scaling>
        <c:delete val="0"/>
        <c:axPos val="b"/>
        <c:majorTickMark val="out"/>
        <c:minorTickMark val="none"/>
        <c:tickLblPos val="nextTo"/>
        <c:txPr>
          <a:bodyPr/>
          <a:lstStyle/>
          <a:p>
            <a:pPr>
              <a:defRPr>
                <a:latin typeface="Georgia" panose="02040502050405020303" pitchFamily="18" charset="0"/>
              </a:defRPr>
            </a:pPr>
            <a:endParaRPr lang="en-US"/>
          </a:p>
        </c:txPr>
        <c:crossAx val="110304640"/>
        <c:crosses val="autoZero"/>
        <c:auto val="1"/>
        <c:lblAlgn val="ctr"/>
        <c:lblOffset val="100"/>
        <c:noMultiLvlLbl val="0"/>
      </c:catAx>
      <c:valAx>
        <c:axId val="110304640"/>
        <c:scaling>
          <c:orientation val="minMax"/>
        </c:scaling>
        <c:delete val="0"/>
        <c:axPos val="l"/>
        <c:majorGridlines/>
        <c:numFmt formatCode="0.00%" sourceLinked="1"/>
        <c:majorTickMark val="out"/>
        <c:minorTickMark val="none"/>
        <c:tickLblPos val="nextTo"/>
        <c:txPr>
          <a:bodyPr/>
          <a:lstStyle/>
          <a:p>
            <a:pPr>
              <a:defRPr>
                <a:latin typeface="Georgia" panose="02040502050405020303" pitchFamily="18" charset="0"/>
              </a:defRPr>
            </a:pPr>
            <a:endParaRPr lang="en-US"/>
          </a:p>
        </c:txPr>
        <c:crossAx val="110303104"/>
        <c:crosses val="autoZero"/>
        <c:crossBetween val="between"/>
      </c:valAx>
    </c:plotArea>
    <c:legend>
      <c:legendPos val="r"/>
      <c:legendEntry>
        <c:idx val="0"/>
        <c:delete val="1"/>
      </c:legendEntry>
      <c:layout>
        <c:manualLayout>
          <c:xMode val="edge"/>
          <c:yMode val="edge"/>
          <c:x val="0.75542129349215958"/>
          <c:y val="3.2809634089856418E-2"/>
          <c:w val="0.22854751329160777"/>
          <c:h val="3.6493329983586557E-2"/>
        </c:manualLayout>
      </c:layout>
      <c:overlay val="0"/>
      <c:txPr>
        <a:bodyPr/>
        <a:lstStyle/>
        <a:p>
          <a:pPr>
            <a:defRPr>
              <a:latin typeface="Georgia" panose="02040502050405020303"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'Electronics Potential'!$B$1</c:f>
              <c:strCache>
                <c:ptCount val="1"/>
                <c:pt idx="0">
                  <c:v>Households</c:v>
                </c:pt>
              </c:strCache>
            </c:strRef>
          </c:tx>
          <c:invertIfNegative val="0"/>
          <c:cat>
            <c:strRef>
              <c:f>'Electronics Potential'!$A$2:$A$13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'Electronics Potential'!$B$2:$B$13</c:f>
            </c:numRef>
          </c:val>
        </c:ser>
        <c:ser>
          <c:idx val="1"/>
          <c:order val="1"/>
          <c:tx>
            <c:strRef>
              <c:f>'Electronics Potential'!$C$1</c:f>
              <c:strCache>
                <c:ptCount val="1"/>
                <c:pt idx="0">
                  <c:v>Adult
Population</c:v>
                </c:pt>
              </c:strCache>
            </c:strRef>
          </c:tx>
          <c:invertIfNegative val="0"/>
          <c:cat>
            <c:strRef>
              <c:f>'Electronics Potential'!$A$2:$A$13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'Electronics Potential'!$C$2:$C$13</c:f>
            </c:numRef>
          </c:val>
        </c:ser>
        <c:ser>
          <c:idx val="2"/>
          <c:order val="2"/>
          <c:tx>
            <c:strRef>
              <c:f>'Electronics Potential'!$D$1</c:f>
              <c:strCache>
                <c:ptCount val="1"/>
                <c:pt idx="0">
                  <c:v>Household Has 
Personal Computer</c:v>
                </c:pt>
              </c:strCache>
            </c:strRef>
          </c:tx>
          <c:invertIfNegative val="0"/>
          <c:cat>
            <c:strRef>
              <c:f>'Electronics Potential'!$A$2:$A$13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'Electronics Potential'!$D$2:$D$13</c:f>
            </c:numRef>
          </c:val>
        </c:ser>
        <c:ser>
          <c:idx val="3"/>
          <c:order val="3"/>
          <c:tx>
            <c:strRef>
              <c:f>'Electronics Potential'!$E$1</c:f>
              <c:strCache>
                <c:ptCount val="1"/>
                <c:pt idx="0">
                  <c:v>Household has
Personal Computer (%)</c:v>
                </c:pt>
              </c:strCache>
            </c:strRef>
          </c:tx>
          <c:spPr>
            <a:solidFill>
              <a:srgbClr val="D2EAF1"/>
            </a:solidFill>
            <a:ln>
              <a:solidFill>
                <a:srgbClr val="D2EAF1"/>
              </a:solidFill>
            </a:ln>
          </c:spPr>
          <c:invertIfNegative val="0"/>
          <c:dLbls>
            <c:txPr>
              <a:bodyPr rot="-5400000" vert="horz"/>
              <a:lstStyle/>
              <a:p>
                <a:pPr>
                  <a:defRPr/>
                </a:pPr>
                <a:endParaRPr lang="en-US"/>
              </a:p>
            </c:txPr>
            <c:dLblPos val="ctr"/>
            <c:showLegendKey val="0"/>
            <c:showVal val="1"/>
            <c:showCatName val="0"/>
            <c:showSerName val="0"/>
            <c:showPercent val="0"/>
            <c:showBubbleSize val="0"/>
            <c:showLeaderLines val="0"/>
          </c:dLbls>
          <c:cat>
            <c:strRef>
              <c:f>'Electronics Potential'!$A$2:$A$13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'Electronics Potential'!$E$2:$E$13</c:f>
              <c:numCache>
                <c:formatCode>0.0%</c:formatCode>
                <c:ptCount val="12"/>
                <c:pt idx="0">
                  <c:v>0.74182039326981553</c:v>
                </c:pt>
                <c:pt idx="1">
                  <c:v>0.72564229996326624</c:v>
                </c:pt>
                <c:pt idx="2">
                  <c:v>0.55871446229913468</c:v>
                </c:pt>
                <c:pt idx="3">
                  <c:v>0.65071418053305841</c:v>
                </c:pt>
                <c:pt idx="4">
                  <c:v>0.72508229700073157</c:v>
                </c:pt>
                <c:pt idx="5">
                  <c:v>0.59218098829132759</c:v>
                </c:pt>
                <c:pt idx="6">
                  <c:v>0.63700102832569883</c:v>
                </c:pt>
                <c:pt idx="7">
                  <c:v>0.70868471667406419</c:v>
                </c:pt>
                <c:pt idx="8">
                  <c:v>0.759525171624714</c:v>
                </c:pt>
                <c:pt idx="9">
                  <c:v>0.84289504228154533</c:v>
                </c:pt>
                <c:pt idx="10">
                  <c:v>0.62427644272934568</c:v>
                </c:pt>
                <c:pt idx="11">
                  <c:v>0.73340843577084924</c:v>
                </c:pt>
              </c:numCache>
            </c:numRef>
          </c:val>
        </c:ser>
        <c:ser>
          <c:idx val="4"/>
          <c:order val="4"/>
          <c:tx>
            <c:strRef>
              <c:f>'Electronics Potential'!$F$1</c:f>
              <c:strCache>
                <c:ptCount val="1"/>
                <c:pt idx="0">
                  <c:v>Adult Population Has 
Internet Access</c:v>
                </c:pt>
              </c:strCache>
            </c:strRef>
          </c:tx>
          <c:invertIfNegative val="0"/>
          <c:cat>
            <c:strRef>
              <c:f>'Electronics Potential'!$A$2:$A$13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'Electronics Potential'!$F$2:$F$13</c:f>
            </c:numRef>
          </c:val>
        </c:ser>
        <c:dLbls>
          <c:showLegendKey val="0"/>
          <c:showVal val="0"/>
          <c:showCatName val="0"/>
          <c:showSerName val="0"/>
          <c:showPercent val="0"/>
          <c:showBubbleSize val="0"/>
        </c:dLbls>
        <c:gapWidth val="25"/>
        <c:axId val="110343296"/>
        <c:axId val="110344832"/>
      </c:barChart>
      <c:lineChart>
        <c:grouping val="standard"/>
        <c:varyColors val="0"/>
        <c:ser>
          <c:idx val="5"/>
          <c:order val="5"/>
          <c:tx>
            <c:strRef>
              <c:f>'Electronics Potential'!$G$1</c:f>
              <c:strCache>
                <c:ptCount val="1"/>
                <c:pt idx="0">
                  <c:v>REGION
(72.1%)</c:v>
                </c:pt>
              </c:strCache>
            </c:strRef>
          </c:tx>
          <c:spPr>
            <a:ln>
              <a:solidFill>
                <a:srgbClr val="FF0000"/>
              </a:solidFill>
              <a:prstDash val="dash"/>
            </a:ln>
          </c:spPr>
          <c:marker>
            <c:symbol val="none"/>
          </c:marker>
          <c:cat>
            <c:strRef>
              <c:f>'Electronics Potential'!$A$2:$A$13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'Electronics Potential'!$G$2:$G$13</c:f>
              <c:numCache>
                <c:formatCode>0.0%</c:formatCode>
                <c:ptCount val="12"/>
                <c:pt idx="0">
                  <c:v>0.72117261703645308</c:v>
                </c:pt>
                <c:pt idx="1">
                  <c:v>0.72117261703645308</c:v>
                </c:pt>
                <c:pt idx="2">
                  <c:v>0.72117261703645308</c:v>
                </c:pt>
                <c:pt idx="3">
                  <c:v>0.72117261703645308</c:v>
                </c:pt>
                <c:pt idx="4">
                  <c:v>0.72117261703645308</c:v>
                </c:pt>
                <c:pt idx="5">
                  <c:v>0.72117261703645308</c:v>
                </c:pt>
                <c:pt idx="6">
                  <c:v>0.72117261703645308</c:v>
                </c:pt>
                <c:pt idx="7">
                  <c:v>0.72117261703645308</c:v>
                </c:pt>
                <c:pt idx="8">
                  <c:v>0.72117261703645308</c:v>
                </c:pt>
                <c:pt idx="9">
                  <c:v>0.72117261703645308</c:v>
                </c:pt>
                <c:pt idx="10">
                  <c:v>0.72117261703645308</c:v>
                </c:pt>
                <c:pt idx="11">
                  <c:v>0.72117261703645308</c:v>
                </c:pt>
              </c:numCache>
            </c:numRef>
          </c:val>
          <c:smooth val="0"/>
        </c:ser>
        <c:dLbls>
          <c:showLegendKey val="0"/>
          <c:showVal val="0"/>
          <c:showCatName val="0"/>
          <c:showSerName val="0"/>
          <c:showPercent val="0"/>
          <c:showBubbleSize val="0"/>
        </c:dLbls>
        <c:marker val="1"/>
        <c:smooth val="0"/>
        <c:axId val="110343296"/>
        <c:axId val="110344832"/>
      </c:lineChart>
      <c:catAx>
        <c:axId val="110343296"/>
        <c:scaling>
          <c:orientation val="minMax"/>
        </c:scaling>
        <c:delete val="0"/>
        <c:axPos val="b"/>
        <c:majorTickMark val="out"/>
        <c:minorTickMark val="none"/>
        <c:tickLblPos val="nextTo"/>
        <c:crossAx val="110344832"/>
        <c:crosses val="autoZero"/>
        <c:auto val="1"/>
        <c:lblAlgn val="ctr"/>
        <c:lblOffset val="100"/>
        <c:noMultiLvlLbl val="0"/>
      </c:catAx>
      <c:valAx>
        <c:axId val="110344832"/>
        <c:scaling>
          <c:orientation val="minMax"/>
          <c:max val="1"/>
        </c:scaling>
        <c:delete val="0"/>
        <c:axPos val="l"/>
        <c:majorGridlines/>
        <c:numFmt formatCode="0.0%" sourceLinked="1"/>
        <c:majorTickMark val="out"/>
        <c:minorTickMark val="none"/>
        <c:tickLblPos val="nextTo"/>
        <c:crossAx val="110343296"/>
        <c:crosses val="autoZero"/>
        <c:crossBetween val="between"/>
      </c:valAx>
    </c:plotArea>
    <c:legend>
      <c:legendPos val="r"/>
      <c:legendEntry>
        <c:idx val="0"/>
        <c:delete val="1"/>
      </c:legendEntry>
      <c:layout>
        <c:manualLayout>
          <c:xMode val="edge"/>
          <c:yMode val="edge"/>
          <c:x val="0.65488676896157216"/>
          <c:y val="2.366307464437125E-2"/>
          <c:w val="0.15851955758303854"/>
          <c:h val="9.7679018063918474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'Electronics Potential'!$H$1</c:f>
              <c:strCache>
                <c:ptCount val="1"/>
                <c:pt idx="0">
                  <c:v>Adult Population
Has Internet
Access (%)</c:v>
                </c:pt>
              </c:strCache>
            </c:strRef>
          </c:tx>
          <c:spPr>
            <a:solidFill>
              <a:srgbClr val="D2EAF1"/>
            </a:solidFill>
            <a:ln>
              <a:solidFill>
                <a:srgbClr val="D2EAF1"/>
              </a:solidFill>
            </a:ln>
          </c:spPr>
          <c:invertIfNegative val="0"/>
          <c:dLbls>
            <c:txPr>
              <a:bodyPr rot="-5400000" vert="horz"/>
              <a:lstStyle/>
              <a:p>
                <a:pPr>
                  <a:defRPr/>
                </a:pPr>
                <a:endParaRPr lang="en-US"/>
              </a:p>
            </c:txPr>
            <c:dLblPos val="ctr"/>
            <c:showLegendKey val="0"/>
            <c:showVal val="1"/>
            <c:showCatName val="0"/>
            <c:showSerName val="0"/>
            <c:showPercent val="0"/>
            <c:showBubbleSize val="0"/>
            <c:showLeaderLines val="0"/>
          </c:dLbls>
          <c:cat>
            <c:strRef>
              <c:f>'Electronics Potential'!$A$2:$A$13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'Electronics Potential'!$H$2:$H$13</c:f>
              <c:numCache>
                <c:formatCode>0.0%</c:formatCode>
                <c:ptCount val="12"/>
                <c:pt idx="0">
                  <c:v>0.84945076122566965</c:v>
                </c:pt>
                <c:pt idx="1">
                  <c:v>0.85825211143069124</c:v>
                </c:pt>
                <c:pt idx="2">
                  <c:v>0.69815786107202249</c:v>
                </c:pt>
                <c:pt idx="3">
                  <c:v>0.76291839037232045</c:v>
                </c:pt>
                <c:pt idx="4">
                  <c:v>0.8318873190679158</c:v>
                </c:pt>
                <c:pt idx="5">
                  <c:v>0.72210626185958249</c:v>
                </c:pt>
                <c:pt idx="6">
                  <c:v>0.75625650540797396</c:v>
                </c:pt>
                <c:pt idx="7">
                  <c:v>0.81972176169537947</c:v>
                </c:pt>
                <c:pt idx="8">
                  <c:v>0.85909608811241933</c:v>
                </c:pt>
                <c:pt idx="9">
                  <c:v>0.91367192153436838</c:v>
                </c:pt>
                <c:pt idx="10">
                  <c:v>0.74201558352598684</c:v>
                </c:pt>
                <c:pt idx="11">
                  <c:v>0.85041629872587354</c:v>
                </c:pt>
              </c:numCache>
            </c:numRef>
          </c:val>
        </c:ser>
        <c:ser>
          <c:idx val="1"/>
          <c:order val="1"/>
          <c:tx>
            <c:strRef>
              <c:f>'Electronics Potential'!$I$1</c:f>
              <c:strCache>
                <c:ptCount val="1"/>
                <c:pt idx="0">
                  <c:v>Adult Population Has 
Broadband at Home</c:v>
                </c:pt>
              </c:strCache>
            </c:strRef>
          </c:tx>
          <c:invertIfNegative val="0"/>
          <c:cat>
            <c:strRef>
              <c:f>'Electronics Potential'!$A$2:$A$13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'Electronics Potential'!$I$2:$I$13</c:f>
            </c:numRef>
          </c:val>
        </c:ser>
        <c:dLbls>
          <c:showLegendKey val="0"/>
          <c:showVal val="0"/>
          <c:showCatName val="0"/>
          <c:showSerName val="0"/>
          <c:showPercent val="0"/>
          <c:showBubbleSize val="0"/>
        </c:dLbls>
        <c:gapWidth val="25"/>
        <c:axId val="110449792"/>
        <c:axId val="110451328"/>
      </c:barChart>
      <c:lineChart>
        <c:grouping val="standard"/>
        <c:varyColors val="0"/>
        <c:ser>
          <c:idx val="2"/>
          <c:order val="2"/>
          <c:tx>
            <c:strRef>
              <c:f>'Electronics Potential'!$J$1</c:f>
              <c:strCache>
                <c:ptCount val="1"/>
                <c:pt idx="0">
                  <c:v>REGION
(83.6%)</c:v>
                </c:pt>
              </c:strCache>
            </c:strRef>
          </c:tx>
          <c:spPr>
            <a:ln>
              <a:solidFill>
                <a:srgbClr val="FF0000"/>
              </a:solidFill>
              <a:prstDash val="dash"/>
            </a:ln>
          </c:spPr>
          <c:marker>
            <c:symbol val="none"/>
          </c:marker>
          <c:cat>
            <c:strRef>
              <c:f>'Electronics Potential'!$A$2:$A$13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'Electronics Potential'!$J$2:$J$13</c:f>
              <c:numCache>
                <c:formatCode>0.0%</c:formatCode>
                <c:ptCount val="12"/>
                <c:pt idx="0">
                  <c:v>0.83568079328524048</c:v>
                </c:pt>
                <c:pt idx="1">
                  <c:v>0.83568079328524048</c:v>
                </c:pt>
                <c:pt idx="2">
                  <c:v>0.83568079328524048</c:v>
                </c:pt>
                <c:pt idx="3">
                  <c:v>0.83568079328524048</c:v>
                </c:pt>
                <c:pt idx="4">
                  <c:v>0.83568079328524048</c:v>
                </c:pt>
                <c:pt idx="5">
                  <c:v>0.83568079328524048</c:v>
                </c:pt>
                <c:pt idx="6">
                  <c:v>0.83568079328524048</c:v>
                </c:pt>
                <c:pt idx="7">
                  <c:v>0.83568079328524048</c:v>
                </c:pt>
                <c:pt idx="8">
                  <c:v>0.83568079328524048</c:v>
                </c:pt>
                <c:pt idx="9">
                  <c:v>0.83568079328524048</c:v>
                </c:pt>
                <c:pt idx="10">
                  <c:v>0.83568079328524048</c:v>
                </c:pt>
                <c:pt idx="11">
                  <c:v>0.83568079328524048</c:v>
                </c:pt>
              </c:numCache>
            </c:numRef>
          </c:val>
          <c:smooth val="0"/>
        </c:ser>
        <c:dLbls>
          <c:showLegendKey val="0"/>
          <c:showVal val="0"/>
          <c:showCatName val="0"/>
          <c:showSerName val="0"/>
          <c:showPercent val="0"/>
          <c:showBubbleSize val="0"/>
        </c:dLbls>
        <c:marker val="1"/>
        <c:smooth val="0"/>
        <c:axId val="110449792"/>
        <c:axId val="110451328"/>
      </c:lineChart>
      <c:catAx>
        <c:axId val="110449792"/>
        <c:scaling>
          <c:orientation val="minMax"/>
        </c:scaling>
        <c:delete val="0"/>
        <c:axPos val="b"/>
        <c:majorTickMark val="out"/>
        <c:minorTickMark val="none"/>
        <c:tickLblPos val="nextTo"/>
        <c:crossAx val="110451328"/>
        <c:crosses val="autoZero"/>
        <c:auto val="1"/>
        <c:lblAlgn val="ctr"/>
        <c:lblOffset val="100"/>
        <c:noMultiLvlLbl val="0"/>
      </c:catAx>
      <c:valAx>
        <c:axId val="110451328"/>
        <c:scaling>
          <c:orientation val="minMax"/>
        </c:scaling>
        <c:delete val="0"/>
        <c:axPos val="l"/>
        <c:majorGridlines/>
        <c:numFmt formatCode="0.0%" sourceLinked="1"/>
        <c:majorTickMark val="out"/>
        <c:minorTickMark val="none"/>
        <c:tickLblPos val="nextTo"/>
        <c:crossAx val="110449792"/>
        <c:crosses val="autoZero"/>
        <c:crossBetween val="between"/>
      </c:valAx>
      <c:spPr>
        <a:ln>
          <a:prstDash val="dash"/>
        </a:ln>
      </c:spPr>
    </c:plotArea>
    <c:legend>
      <c:legendPos val="r"/>
      <c:legendEntry>
        <c:idx val="0"/>
        <c:delete val="1"/>
      </c:legendEntry>
      <c:layout>
        <c:manualLayout>
          <c:xMode val="edge"/>
          <c:yMode val="edge"/>
          <c:x val="0.63662292213473315"/>
          <c:y val="2.9550622480697418E-2"/>
          <c:w val="0.17104515781681134"/>
          <c:h val="7.5429454891880049E-2"/>
        </c:manualLayout>
      </c:layout>
      <c:overlay val="0"/>
      <c:spPr>
        <a:ln>
          <a:prstDash val="dash"/>
        </a:ln>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'Electronics Potential'!$K$1</c:f>
              <c:strCache>
                <c:ptCount val="1"/>
                <c:pt idx="0">
                  <c:v>Adult Population 
has Broadband at 
Home (%)</c:v>
                </c:pt>
              </c:strCache>
            </c:strRef>
          </c:tx>
          <c:spPr>
            <a:solidFill>
              <a:srgbClr val="D2EAF1"/>
            </a:solidFill>
            <a:ln>
              <a:solidFill>
                <a:srgbClr val="D2EAF1"/>
              </a:solidFill>
            </a:ln>
          </c:spPr>
          <c:invertIfNegative val="0"/>
          <c:dLbls>
            <c:txPr>
              <a:bodyPr rot="-5400000" vert="horz"/>
              <a:lstStyle/>
              <a:p>
                <a:pPr>
                  <a:defRPr/>
                </a:pPr>
                <a:endParaRPr lang="en-US"/>
              </a:p>
            </c:txPr>
            <c:dLblPos val="ctr"/>
            <c:showLegendKey val="0"/>
            <c:showVal val="1"/>
            <c:showCatName val="0"/>
            <c:showSerName val="0"/>
            <c:showPercent val="0"/>
            <c:showBubbleSize val="0"/>
            <c:showLeaderLines val="0"/>
          </c:dLbls>
          <c:cat>
            <c:strRef>
              <c:f>'Electronics Potential'!$A$2:$A$13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'Electronics Potential'!$K$2:$K$13</c:f>
              <c:numCache>
                <c:formatCode>0.0%</c:formatCode>
                <c:ptCount val="12"/>
                <c:pt idx="0">
                  <c:v>0.55588745423010211</c:v>
                </c:pt>
                <c:pt idx="1">
                  <c:v>0.61017552061630398</c:v>
                </c:pt>
                <c:pt idx="2">
                  <c:v>0.34725598055520018</c:v>
                </c:pt>
                <c:pt idx="3">
                  <c:v>0.44520496427228279</c:v>
                </c:pt>
                <c:pt idx="4">
                  <c:v>0.51859624829615525</c:v>
                </c:pt>
                <c:pt idx="5">
                  <c:v>0.37210626185958257</c:v>
                </c:pt>
                <c:pt idx="6">
                  <c:v>0.39666018011494775</c:v>
                </c:pt>
                <c:pt idx="7">
                  <c:v>0.46774309810423126</c:v>
                </c:pt>
                <c:pt idx="8">
                  <c:v>0.58915685529813899</c:v>
                </c:pt>
                <c:pt idx="9">
                  <c:v>0.68649485764206009</c:v>
                </c:pt>
                <c:pt idx="10">
                  <c:v>0.38564945628906583</c:v>
                </c:pt>
                <c:pt idx="11">
                  <c:v>0.5458401665194903</c:v>
                </c:pt>
              </c:numCache>
            </c:numRef>
          </c:val>
        </c:ser>
        <c:dLbls>
          <c:showLegendKey val="0"/>
          <c:showVal val="0"/>
          <c:showCatName val="0"/>
          <c:showSerName val="0"/>
          <c:showPercent val="0"/>
          <c:showBubbleSize val="0"/>
        </c:dLbls>
        <c:gapWidth val="25"/>
        <c:axId val="110489984"/>
        <c:axId val="110491520"/>
      </c:barChart>
      <c:lineChart>
        <c:grouping val="standard"/>
        <c:varyColors val="0"/>
        <c:ser>
          <c:idx val="1"/>
          <c:order val="1"/>
          <c:tx>
            <c:strRef>
              <c:f>'Electronics Potential'!$L$1</c:f>
              <c:strCache>
                <c:ptCount val="1"/>
                <c:pt idx="0">
                  <c:v>REGION
(54.4%)</c:v>
                </c:pt>
              </c:strCache>
            </c:strRef>
          </c:tx>
          <c:spPr>
            <a:ln>
              <a:solidFill>
                <a:srgbClr val="FF0000"/>
              </a:solidFill>
              <a:prstDash val="dash"/>
            </a:ln>
          </c:spPr>
          <c:marker>
            <c:symbol val="none"/>
          </c:marker>
          <c:cat>
            <c:strRef>
              <c:f>'Electronics Potential'!$A$2:$A$13</c:f>
              <c:strCache>
                <c:ptCount val="12"/>
                <c:pt idx="0">
                  <c:v>Barrow</c:v>
                </c:pt>
                <c:pt idx="1">
                  <c:v>Clarke</c:v>
                </c:pt>
                <c:pt idx="2">
                  <c:v>Elbert</c:v>
                </c:pt>
                <c:pt idx="3">
                  <c:v>Greene</c:v>
                </c:pt>
                <c:pt idx="4">
                  <c:v>Jackson</c:v>
                </c:pt>
                <c:pt idx="5">
                  <c:v>Jasper</c:v>
                </c:pt>
                <c:pt idx="6">
                  <c:v>Madison</c:v>
                </c:pt>
                <c:pt idx="7">
                  <c:v>Morgan</c:v>
                </c:pt>
                <c:pt idx="8">
                  <c:v>Newton</c:v>
                </c:pt>
                <c:pt idx="9">
                  <c:v>Oconee</c:v>
                </c:pt>
                <c:pt idx="10">
                  <c:v>Oglethorpe</c:v>
                </c:pt>
                <c:pt idx="11">
                  <c:v>Walton</c:v>
                </c:pt>
              </c:strCache>
            </c:strRef>
          </c:cat>
          <c:val>
            <c:numRef>
              <c:f>'Electronics Potential'!$L$2:$L$13</c:f>
              <c:numCache>
                <c:formatCode>0.0%</c:formatCode>
                <c:ptCount val="12"/>
                <c:pt idx="0">
                  <c:v>0.54539929991052671</c:v>
                </c:pt>
                <c:pt idx="1">
                  <c:v>0.54539929991052671</c:v>
                </c:pt>
                <c:pt idx="2">
                  <c:v>0.54539929991052671</c:v>
                </c:pt>
                <c:pt idx="3">
                  <c:v>0.54539929991052671</c:v>
                </c:pt>
                <c:pt idx="4">
                  <c:v>0.54539929991052671</c:v>
                </c:pt>
                <c:pt idx="5">
                  <c:v>0.54539929991052671</c:v>
                </c:pt>
                <c:pt idx="6">
                  <c:v>0.54539929991052671</c:v>
                </c:pt>
                <c:pt idx="7">
                  <c:v>0.54539929991052671</c:v>
                </c:pt>
                <c:pt idx="8">
                  <c:v>0.54539929991052671</c:v>
                </c:pt>
                <c:pt idx="9">
                  <c:v>0.54539929991052671</c:v>
                </c:pt>
                <c:pt idx="10">
                  <c:v>0.54539929991052671</c:v>
                </c:pt>
                <c:pt idx="11">
                  <c:v>0.54539929991052671</c:v>
                </c:pt>
              </c:numCache>
            </c:numRef>
          </c:val>
          <c:smooth val="0"/>
        </c:ser>
        <c:dLbls>
          <c:showLegendKey val="0"/>
          <c:showVal val="0"/>
          <c:showCatName val="0"/>
          <c:showSerName val="0"/>
          <c:showPercent val="0"/>
          <c:showBubbleSize val="0"/>
        </c:dLbls>
        <c:marker val="1"/>
        <c:smooth val="0"/>
        <c:axId val="110489984"/>
        <c:axId val="110491520"/>
      </c:lineChart>
      <c:catAx>
        <c:axId val="110489984"/>
        <c:scaling>
          <c:orientation val="minMax"/>
        </c:scaling>
        <c:delete val="0"/>
        <c:axPos val="b"/>
        <c:majorTickMark val="out"/>
        <c:minorTickMark val="none"/>
        <c:tickLblPos val="nextTo"/>
        <c:crossAx val="110491520"/>
        <c:crosses val="autoZero"/>
        <c:auto val="1"/>
        <c:lblAlgn val="ctr"/>
        <c:lblOffset val="100"/>
        <c:noMultiLvlLbl val="0"/>
      </c:catAx>
      <c:valAx>
        <c:axId val="110491520"/>
        <c:scaling>
          <c:orientation val="minMax"/>
          <c:max val="1"/>
        </c:scaling>
        <c:delete val="0"/>
        <c:axPos val="l"/>
        <c:majorGridlines/>
        <c:numFmt formatCode="0.0%" sourceLinked="1"/>
        <c:majorTickMark val="out"/>
        <c:minorTickMark val="none"/>
        <c:tickLblPos val="nextTo"/>
        <c:crossAx val="110489984"/>
        <c:crosses val="autoZero"/>
        <c:crossBetween val="between"/>
      </c:valAx>
    </c:plotArea>
    <c:legend>
      <c:legendPos val="r"/>
      <c:legendEntry>
        <c:idx val="0"/>
        <c:delete val="1"/>
      </c:legendEntry>
      <c:layout>
        <c:manualLayout>
          <c:xMode val="edge"/>
          <c:yMode val="edge"/>
          <c:x val="0.65054562891177059"/>
          <c:y val="2.9550622480697418E-2"/>
          <c:w val="0.16286072414025168"/>
          <c:h val="9.1812181565539608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8624E-0408-432E-A126-E7A663211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1086</TotalTime>
  <Pages>46</Pages>
  <Words>8518</Words>
  <Characters>48554</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 Kelly</dc:creator>
  <cp:lastModifiedBy>Nina Kelly</cp:lastModifiedBy>
  <cp:revision>28</cp:revision>
  <cp:lastPrinted>2014-08-08T18:15:00Z</cp:lastPrinted>
  <dcterms:created xsi:type="dcterms:W3CDTF">2014-08-05T19:29:00Z</dcterms:created>
  <dcterms:modified xsi:type="dcterms:W3CDTF">2014-08-11T16:13:00Z</dcterms:modified>
</cp:coreProperties>
</file>